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9DCA" w14:textId="77777777" w:rsidR="00921542" w:rsidRDefault="00921542" w:rsidP="00921542">
      <w:pPr>
        <w:jc w:val="center"/>
        <w:rPr>
          <w:sz w:val="28"/>
          <w:szCs w:val="28"/>
        </w:rPr>
      </w:pPr>
    </w:p>
    <w:p w14:paraId="227C9DCB" w14:textId="77777777" w:rsidR="00921542" w:rsidRDefault="00921542" w:rsidP="00921542">
      <w:pPr>
        <w:jc w:val="center"/>
        <w:rPr>
          <w:sz w:val="28"/>
          <w:szCs w:val="28"/>
        </w:rPr>
      </w:pPr>
    </w:p>
    <w:p w14:paraId="227C9DCC" w14:textId="77777777" w:rsidR="00921542" w:rsidRDefault="00921542" w:rsidP="00921542">
      <w:pPr>
        <w:jc w:val="center"/>
        <w:rPr>
          <w:sz w:val="28"/>
          <w:szCs w:val="28"/>
        </w:rPr>
      </w:pPr>
    </w:p>
    <w:p w14:paraId="227C9DCD" w14:textId="77777777" w:rsidR="00921542" w:rsidRDefault="00921542" w:rsidP="00921542">
      <w:pPr>
        <w:jc w:val="center"/>
        <w:rPr>
          <w:sz w:val="28"/>
          <w:szCs w:val="28"/>
        </w:rPr>
      </w:pPr>
    </w:p>
    <w:p w14:paraId="227C9DCE" w14:textId="77777777" w:rsidR="00921542" w:rsidRPr="005D3BC9" w:rsidRDefault="00921542" w:rsidP="00921542">
      <w:pPr>
        <w:jc w:val="center"/>
        <w:rPr>
          <w:sz w:val="28"/>
          <w:szCs w:val="28"/>
        </w:rPr>
      </w:pPr>
      <w:r w:rsidRPr="005D3BC9">
        <w:rPr>
          <w:sz w:val="28"/>
          <w:szCs w:val="28"/>
        </w:rPr>
        <w:t>ARROWHEAD AREA AGENCY ON AGING</w:t>
      </w:r>
    </w:p>
    <w:p w14:paraId="227C9DCF" w14:textId="77777777" w:rsidR="00921542" w:rsidRPr="005D3BC9" w:rsidRDefault="00921542" w:rsidP="00921542">
      <w:pPr>
        <w:jc w:val="center"/>
        <w:rPr>
          <w:sz w:val="28"/>
          <w:szCs w:val="28"/>
        </w:rPr>
      </w:pPr>
    </w:p>
    <w:p w14:paraId="227C9DD0" w14:textId="77777777" w:rsidR="00921542" w:rsidRPr="00A35587" w:rsidRDefault="00921542" w:rsidP="00921542">
      <w:pPr>
        <w:jc w:val="center"/>
        <w:rPr>
          <w:b/>
          <w:sz w:val="28"/>
          <w:szCs w:val="28"/>
        </w:rPr>
      </w:pPr>
      <w:r w:rsidRPr="00A35587">
        <w:rPr>
          <w:b/>
          <w:sz w:val="28"/>
          <w:szCs w:val="28"/>
        </w:rPr>
        <w:t>REQUEST FOR PROPOSALS</w:t>
      </w:r>
    </w:p>
    <w:p w14:paraId="227C9DD1" w14:textId="77777777" w:rsidR="0002646D" w:rsidRDefault="0002646D">
      <w:pPr>
        <w:jc w:val="center"/>
      </w:pPr>
    </w:p>
    <w:p w14:paraId="227C9DD2" w14:textId="77777777" w:rsidR="0002646D" w:rsidRDefault="0002646D">
      <w:pPr>
        <w:jc w:val="center"/>
      </w:pPr>
    </w:p>
    <w:p w14:paraId="227C9DD3" w14:textId="77777777" w:rsidR="0002646D" w:rsidRDefault="0002646D">
      <w:pPr>
        <w:jc w:val="center"/>
      </w:pPr>
    </w:p>
    <w:p w14:paraId="227C9DD4" w14:textId="77777777" w:rsidR="0002646D" w:rsidRDefault="0002646D">
      <w:pPr>
        <w:jc w:val="center"/>
      </w:pPr>
    </w:p>
    <w:p w14:paraId="227C9DD5" w14:textId="77777777" w:rsidR="0002646D" w:rsidRDefault="00D1749A">
      <w:pPr>
        <w:jc w:val="center"/>
      </w:pPr>
      <w:r>
        <w:rPr>
          <w:noProof/>
        </w:rPr>
        <w:drawing>
          <wp:anchor distT="0" distB="0" distL="114300" distR="114300" simplePos="0" relativeHeight="251658240" behindDoc="1" locked="0" layoutInCell="1" allowOverlap="1" wp14:anchorId="227C9F21" wp14:editId="73702D30">
            <wp:simplePos x="0" y="0"/>
            <wp:positionH relativeFrom="column">
              <wp:posOffset>1554480</wp:posOffset>
            </wp:positionH>
            <wp:positionV relativeFrom="paragraph">
              <wp:posOffset>63500</wp:posOffset>
            </wp:positionV>
            <wp:extent cx="3187065" cy="1186180"/>
            <wp:effectExtent l="0" t="0" r="0" b="0"/>
            <wp:wrapTight wrapText="bothSides">
              <wp:wrapPolygon edited="0">
                <wp:start x="0" y="0"/>
                <wp:lineTo x="0" y="21161"/>
                <wp:lineTo x="21432" y="21161"/>
                <wp:lineTo x="21432" y="0"/>
                <wp:lineTo x="0" y="0"/>
              </wp:wrapPolygon>
            </wp:wrapTight>
            <wp:docPr id="7373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7065"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C9DD6" w14:textId="77777777" w:rsidR="0002646D" w:rsidRDefault="0002646D">
      <w:pPr>
        <w:jc w:val="center"/>
      </w:pPr>
    </w:p>
    <w:p w14:paraId="227C9DD7" w14:textId="77777777" w:rsidR="0002646D" w:rsidRDefault="0002646D">
      <w:pPr>
        <w:jc w:val="center"/>
      </w:pPr>
    </w:p>
    <w:p w14:paraId="227C9DD8" w14:textId="77777777" w:rsidR="0002646D" w:rsidRDefault="0002646D">
      <w:pPr>
        <w:jc w:val="center"/>
      </w:pPr>
    </w:p>
    <w:p w14:paraId="227C9DD9" w14:textId="77777777" w:rsidR="0002646D" w:rsidRDefault="0002646D">
      <w:pPr>
        <w:jc w:val="center"/>
      </w:pPr>
    </w:p>
    <w:p w14:paraId="227C9DDA" w14:textId="77777777" w:rsidR="0002646D" w:rsidRDefault="0002646D">
      <w:pPr>
        <w:jc w:val="center"/>
      </w:pPr>
    </w:p>
    <w:p w14:paraId="227C9DDB" w14:textId="77777777" w:rsidR="0002646D" w:rsidRDefault="0002646D" w:rsidP="3677A015"/>
    <w:p w14:paraId="227C9DDC" w14:textId="77777777" w:rsidR="0002646D" w:rsidRDefault="0002646D">
      <w:pPr>
        <w:jc w:val="center"/>
      </w:pPr>
    </w:p>
    <w:p w14:paraId="227C9DDD" w14:textId="77777777" w:rsidR="0002646D" w:rsidRDefault="0002646D">
      <w:pPr>
        <w:jc w:val="center"/>
      </w:pPr>
    </w:p>
    <w:p w14:paraId="227C9DDE" w14:textId="77777777" w:rsidR="0002646D" w:rsidRDefault="0002646D">
      <w:pPr>
        <w:jc w:val="center"/>
        <w:rPr>
          <w:sz w:val="28"/>
          <w:szCs w:val="28"/>
        </w:rPr>
      </w:pPr>
    </w:p>
    <w:p w14:paraId="227C9DDF" w14:textId="77777777" w:rsidR="0002646D" w:rsidRDefault="0002646D">
      <w:pPr>
        <w:jc w:val="center"/>
        <w:rPr>
          <w:sz w:val="28"/>
          <w:szCs w:val="28"/>
        </w:rPr>
      </w:pPr>
    </w:p>
    <w:p w14:paraId="227C9DE0" w14:textId="77777777" w:rsidR="0002646D" w:rsidRDefault="0002646D">
      <w:pPr>
        <w:jc w:val="center"/>
        <w:rPr>
          <w:sz w:val="28"/>
          <w:szCs w:val="28"/>
        </w:rPr>
      </w:pPr>
    </w:p>
    <w:p w14:paraId="227C9DE1" w14:textId="77777777" w:rsidR="00921542" w:rsidRPr="008A35AD" w:rsidRDefault="00921542" w:rsidP="00921542">
      <w:pPr>
        <w:jc w:val="center"/>
        <w:rPr>
          <w:b/>
          <w:sz w:val="28"/>
          <w:szCs w:val="28"/>
        </w:rPr>
      </w:pPr>
      <w:r w:rsidRPr="008A35AD">
        <w:rPr>
          <w:b/>
          <w:sz w:val="28"/>
          <w:szCs w:val="28"/>
        </w:rPr>
        <w:t>FOR QUA</w:t>
      </w:r>
      <w:r w:rsidR="003437E3" w:rsidRPr="008A35AD">
        <w:rPr>
          <w:b/>
          <w:sz w:val="28"/>
          <w:szCs w:val="28"/>
        </w:rPr>
        <w:t>LIFIED APPLICANTS</w:t>
      </w:r>
      <w:r w:rsidRPr="008A35AD">
        <w:rPr>
          <w:b/>
          <w:sz w:val="28"/>
          <w:szCs w:val="28"/>
        </w:rPr>
        <w:t xml:space="preserve"> TO</w:t>
      </w:r>
    </w:p>
    <w:p w14:paraId="227C9DE2" w14:textId="77777777" w:rsidR="00921542" w:rsidRPr="008A35AD" w:rsidRDefault="00921542" w:rsidP="00921542">
      <w:pPr>
        <w:jc w:val="center"/>
        <w:rPr>
          <w:sz w:val="28"/>
          <w:szCs w:val="28"/>
        </w:rPr>
      </w:pPr>
      <w:r w:rsidRPr="008A35AD">
        <w:rPr>
          <w:sz w:val="28"/>
          <w:szCs w:val="28"/>
        </w:rPr>
        <w:t xml:space="preserve">PROVIDE SUPPORTIVE SERVICES </w:t>
      </w:r>
    </w:p>
    <w:p w14:paraId="227C9DE3" w14:textId="77777777" w:rsidR="00921542" w:rsidRPr="008A35AD" w:rsidRDefault="00921542" w:rsidP="00921542">
      <w:pPr>
        <w:jc w:val="center"/>
        <w:rPr>
          <w:sz w:val="28"/>
          <w:szCs w:val="28"/>
        </w:rPr>
      </w:pPr>
      <w:r w:rsidRPr="008A35AD">
        <w:rPr>
          <w:sz w:val="28"/>
          <w:szCs w:val="28"/>
        </w:rPr>
        <w:t xml:space="preserve">TO OLDER ADULTS </w:t>
      </w:r>
    </w:p>
    <w:p w14:paraId="227C9DE4" w14:textId="77777777" w:rsidR="00921542" w:rsidRPr="008A35AD" w:rsidRDefault="00921542" w:rsidP="00921542">
      <w:pPr>
        <w:jc w:val="center"/>
        <w:rPr>
          <w:sz w:val="28"/>
          <w:szCs w:val="28"/>
        </w:rPr>
      </w:pPr>
    </w:p>
    <w:p w14:paraId="227C9DE5" w14:textId="77777777" w:rsidR="00921542" w:rsidRPr="008A35AD" w:rsidRDefault="00921542" w:rsidP="00921542">
      <w:pPr>
        <w:jc w:val="center"/>
        <w:rPr>
          <w:sz w:val="28"/>
          <w:szCs w:val="28"/>
        </w:rPr>
      </w:pPr>
    </w:p>
    <w:p w14:paraId="227C9DE6" w14:textId="77777777" w:rsidR="00921542" w:rsidRPr="008A35AD" w:rsidRDefault="00921542" w:rsidP="00921542">
      <w:pPr>
        <w:jc w:val="center"/>
        <w:rPr>
          <w:sz w:val="28"/>
          <w:szCs w:val="28"/>
        </w:rPr>
      </w:pPr>
    </w:p>
    <w:p w14:paraId="227C9DE7" w14:textId="0EEF75DE" w:rsidR="00921542" w:rsidRPr="008A35AD" w:rsidRDefault="00921542" w:rsidP="00921542">
      <w:pPr>
        <w:jc w:val="center"/>
        <w:rPr>
          <w:b/>
          <w:sz w:val="28"/>
          <w:szCs w:val="28"/>
        </w:rPr>
      </w:pPr>
      <w:r w:rsidRPr="008A35AD">
        <w:rPr>
          <w:b/>
          <w:sz w:val="28"/>
          <w:szCs w:val="28"/>
        </w:rPr>
        <w:t>20</w:t>
      </w:r>
      <w:r w:rsidR="007F6EB1" w:rsidRPr="008A35AD">
        <w:rPr>
          <w:b/>
          <w:sz w:val="28"/>
          <w:szCs w:val="28"/>
        </w:rPr>
        <w:t>26</w:t>
      </w:r>
      <w:r w:rsidRPr="008A35AD">
        <w:rPr>
          <w:b/>
          <w:sz w:val="28"/>
          <w:szCs w:val="28"/>
        </w:rPr>
        <w:t xml:space="preserve"> OLDER AMERICANS ACT TITLE III-B </w:t>
      </w:r>
    </w:p>
    <w:p w14:paraId="227C9DE8" w14:textId="77777777" w:rsidR="0002646D" w:rsidRPr="008A35AD" w:rsidRDefault="00921542" w:rsidP="00921542">
      <w:pPr>
        <w:jc w:val="center"/>
        <w:rPr>
          <w:b/>
          <w:sz w:val="28"/>
          <w:szCs w:val="28"/>
        </w:rPr>
      </w:pPr>
      <w:r w:rsidRPr="008A35AD">
        <w:rPr>
          <w:b/>
          <w:sz w:val="28"/>
          <w:szCs w:val="28"/>
        </w:rPr>
        <w:t>SUPPORTIVE SERVICES FUNDING</w:t>
      </w:r>
    </w:p>
    <w:p w14:paraId="227C9DE9" w14:textId="77777777" w:rsidR="0002646D" w:rsidRPr="008A35AD" w:rsidRDefault="0002646D">
      <w:pPr>
        <w:jc w:val="center"/>
        <w:rPr>
          <w:sz w:val="28"/>
          <w:szCs w:val="28"/>
        </w:rPr>
      </w:pPr>
    </w:p>
    <w:p w14:paraId="227C9DEA" w14:textId="77777777" w:rsidR="0002646D" w:rsidRPr="008A35AD" w:rsidRDefault="0002646D">
      <w:pPr>
        <w:jc w:val="center"/>
        <w:rPr>
          <w:sz w:val="28"/>
          <w:szCs w:val="28"/>
        </w:rPr>
      </w:pPr>
    </w:p>
    <w:p w14:paraId="227C9DEB" w14:textId="77777777" w:rsidR="0002646D" w:rsidRPr="008A35AD" w:rsidRDefault="0002646D">
      <w:pPr>
        <w:jc w:val="center"/>
        <w:rPr>
          <w:sz w:val="28"/>
          <w:szCs w:val="28"/>
        </w:rPr>
      </w:pPr>
    </w:p>
    <w:p w14:paraId="227C9DEC" w14:textId="77777777" w:rsidR="0002646D" w:rsidRPr="008A35AD" w:rsidRDefault="0002646D">
      <w:pPr>
        <w:jc w:val="center"/>
        <w:rPr>
          <w:sz w:val="28"/>
          <w:szCs w:val="28"/>
        </w:rPr>
      </w:pPr>
    </w:p>
    <w:p w14:paraId="227C9DED" w14:textId="77777777" w:rsidR="0002646D" w:rsidRPr="008A35AD" w:rsidRDefault="0002646D">
      <w:pPr>
        <w:jc w:val="center"/>
        <w:rPr>
          <w:sz w:val="28"/>
          <w:szCs w:val="28"/>
        </w:rPr>
      </w:pPr>
    </w:p>
    <w:p w14:paraId="227C9DEE" w14:textId="77777777" w:rsidR="0002646D" w:rsidRPr="008A35AD" w:rsidRDefault="0002646D">
      <w:pPr>
        <w:jc w:val="center"/>
        <w:rPr>
          <w:sz w:val="28"/>
          <w:szCs w:val="28"/>
        </w:rPr>
      </w:pPr>
    </w:p>
    <w:p w14:paraId="227C9DEF" w14:textId="77777777" w:rsidR="0002646D" w:rsidRPr="008A35AD" w:rsidRDefault="0002646D">
      <w:pPr>
        <w:jc w:val="center"/>
        <w:rPr>
          <w:sz w:val="28"/>
          <w:szCs w:val="28"/>
        </w:rPr>
      </w:pPr>
    </w:p>
    <w:p w14:paraId="227C9DF0" w14:textId="77777777" w:rsidR="0002646D" w:rsidRPr="008A35AD" w:rsidRDefault="0002646D">
      <w:pPr>
        <w:jc w:val="center"/>
        <w:rPr>
          <w:sz w:val="28"/>
          <w:szCs w:val="28"/>
        </w:rPr>
      </w:pPr>
    </w:p>
    <w:p w14:paraId="227C9DF1" w14:textId="77777777" w:rsidR="0002646D" w:rsidRPr="008A35AD" w:rsidRDefault="0002646D">
      <w:pPr>
        <w:jc w:val="center"/>
        <w:rPr>
          <w:sz w:val="28"/>
          <w:szCs w:val="28"/>
        </w:rPr>
      </w:pPr>
    </w:p>
    <w:p w14:paraId="227C9DF2" w14:textId="77777777" w:rsidR="0002646D" w:rsidRPr="008A35AD" w:rsidRDefault="0002646D">
      <w:pPr>
        <w:jc w:val="center"/>
        <w:rPr>
          <w:sz w:val="28"/>
          <w:szCs w:val="28"/>
        </w:rPr>
      </w:pPr>
    </w:p>
    <w:p w14:paraId="227C9DF3" w14:textId="77777777" w:rsidR="0002646D" w:rsidRPr="008A35AD" w:rsidRDefault="0002646D">
      <w:pPr>
        <w:jc w:val="center"/>
        <w:rPr>
          <w:sz w:val="28"/>
          <w:szCs w:val="28"/>
        </w:rPr>
      </w:pPr>
    </w:p>
    <w:p w14:paraId="227C9DF4" w14:textId="087EC223" w:rsidR="0002646D" w:rsidRDefault="007F6EB1">
      <w:pPr>
        <w:jc w:val="center"/>
        <w:rPr>
          <w:b/>
          <w:bCs/>
        </w:rPr>
      </w:pPr>
      <w:r w:rsidRPr="008A35AD">
        <w:rPr>
          <w:sz w:val="28"/>
          <w:szCs w:val="28"/>
        </w:rPr>
        <w:t>May 2025</w:t>
      </w:r>
      <w:r w:rsidR="0002646D">
        <w:br w:type="page"/>
      </w:r>
      <w:r w:rsidR="0002646D">
        <w:rPr>
          <w:b/>
          <w:bCs/>
        </w:rPr>
        <w:lastRenderedPageBreak/>
        <w:t>Table of Contents</w:t>
      </w:r>
    </w:p>
    <w:p w14:paraId="227C9DF5" w14:textId="77777777" w:rsidR="0002646D" w:rsidRDefault="0002646D">
      <w:pPr>
        <w:jc w:val="center"/>
        <w:rPr>
          <w:b/>
          <w:bCs/>
        </w:rPr>
      </w:pPr>
    </w:p>
    <w:p w14:paraId="227C9DF6" w14:textId="77777777" w:rsidR="0002646D" w:rsidRDefault="0002646D">
      <w:pPr>
        <w:pStyle w:val="Footer"/>
        <w:numPr>
          <w:ilvl w:val="0"/>
          <w:numId w:val="15"/>
        </w:numPr>
        <w:tabs>
          <w:tab w:val="clear" w:pos="4320"/>
          <w:tab w:val="clear" w:pos="8640"/>
        </w:tabs>
      </w:pPr>
      <w:r>
        <w:t>Background and Purpose</w:t>
      </w:r>
      <w:r>
        <w:tab/>
      </w:r>
      <w:r>
        <w:tab/>
      </w:r>
      <w:r>
        <w:tab/>
      </w:r>
      <w:r>
        <w:tab/>
      </w:r>
      <w:r>
        <w:tab/>
      </w:r>
      <w:r>
        <w:tab/>
        <w:t>3</w:t>
      </w:r>
    </w:p>
    <w:p w14:paraId="227C9DF7" w14:textId="77777777" w:rsidR="0002646D" w:rsidRDefault="0002646D">
      <w:pPr>
        <w:pStyle w:val="Footer"/>
        <w:tabs>
          <w:tab w:val="clear" w:pos="4320"/>
          <w:tab w:val="clear" w:pos="8640"/>
        </w:tabs>
        <w:ind w:left="360"/>
      </w:pPr>
    </w:p>
    <w:p w14:paraId="227C9DF8" w14:textId="45B92A6B" w:rsidR="0002646D" w:rsidRDefault="0002646D">
      <w:pPr>
        <w:numPr>
          <w:ilvl w:val="0"/>
          <w:numId w:val="15"/>
        </w:numPr>
      </w:pPr>
      <w:r>
        <w:t>Use of Funding and Grant Period</w:t>
      </w:r>
      <w:r>
        <w:tab/>
      </w:r>
      <w:r>
        <w:tab/>
      </w:r>
      <w:r>
        <w:tab/>
      </w:r>
      <w:r>
        <w:tab/>
      </w:r>
      <w:r w:rsidR="00CE15F7">
        <w:t xml:space="preserve">           </w:t>
      </w:r>
      <w:r>
        <w:t>3</w:t>
      </w:r>
    </w:p>
    <w:p w14:paraId="227C9DF9" w14:textId="77777777" w:rsidR="0002646D" w:rsidRDefault="0002646D"/>
    <w:p w14:paraId="227C9DFA" w14:textId="77777777" w:rsidR="0002646D" w:rsidRPr="008B1FCB" w:rsidRDefault="002312F3" w:rsidP="008B1FCB">
      <w:pPr>
        <w:numPr>
          <w:ilvl w:val="0"/>
          <w:numId w:val="15"/>
        </w:numPr>
        <w:rPr>
          <w:szCs w:val="28"/>
        </w:rPr>
      </w:pPr>
      <w:r w:rsidRPr="002D5BC7">
        <w:rPr>
          <w:szCs w:val="28"/>
        </w:rPr>
        <w:t>Target Population</w:t>
      </w:r>
      <w:r w:rsidR="002D5BC7" w:rsidRPr="002D5BC7">
        <w:rPr>
          <w:szCs w:val="28"/>
        </w:rPr>
        <w:t>s</w:t>
      </w:r>
      <w:r w:rsidRPr="002D5BC7">
        <w:rPr>
          <w:szCs w:val="28"/>
        </w:rPr>
        <w:tab/>
      </w:r>
      <w:r w:rsidRPr="002D5BC7">
        <w:rPr>
          <w:szCs w:val="28"/>
        </w:rPr>
        <w:tab/>
      </w:r>
      <w:r w:rsidRPr="002D5BC7">
        <w:rPr>
          <w:szCs w:val="28"/>
        </w:rPr>
        <w:tab/>
      </w:r>
      <w:r w:rsidRPr="002D5BC7">
        <w:rPr>
          <w:szCs w:val="28"/>
        </w:rPr>
        <w:tab/>
      </w:r>
      <w:r w:rsidRPr="002D5BC7">
        <w:rPr>
          <w:szCs w:val="28"/>
        </w:rPr>
        <w:tab/>
      </w:r>
      <w:r w:rsidR="002D5BC7">
        <w:rPr>
          <w:szCs w:val="28"/>
        </w:rPr>
        <w:t xml:space="preserve">           </w:t>
      </w:r>
      <w:r w:rsidRPr="002D5BC7">
        <w:rPr>
          <w:szCs w:val="28"/>
        </w:rPr>
        <w:tab/>
        <w:t>5</w:t>
      </w:r>
    </w:p>
    <w:p w14:paraId="227C9DFB" w14:textId="77777777" w:rsidR="0002646D" w:rsidRDefault="0002646D">
      <w:pPr>
        <w:rPr>
          <w:szCs w:val="28"/>
        </w:rPr>
      </w:pPr>
    </w:p>
    <w:p w14:paraId="227C9DFC" w14:textId="77777777" w:rsidR="0002646D" w:rsidRDefault="00062E1E">
      <w:pPr>
        <w:numPr>
          <w:ilvl w:val="0"/>
          <w:numId w:val="15"/>
        </w:numPr>
        <w:rPr>
          <w:szCs w:val="28"/>
        </w:rPr>
      </w:pPr>
      <w:r>
        <w:rPr>
          <w:szCs w:val="28"/>
        </w:rPr>
        <w:t>Cost Sharing</w:t>
      </w:r>
      <w:r w:rsidR="002D5BC7">
        <w:rPr>
          <w:szCs w:val="28"/>
        </w:rPr>
        <w:t>,</w:t>
      </w:r>
      <w:r w:rsidR="00F66E48">
        <w:rPr>
          <w:szCs w:val="28"/>
        </w:rPr>
        <w:t xml:space="preserve"> Voluntary Contributions</w:t>
      </w:r>
      <w:r w:rsidR="002D5BC7">
        <w:rPr>
          <w:szCs w:val="28"/>
        </w:rPr>
        <w:t xml:space="preserve"> and Other Payer Sources</w:t>
      </w:r>
      <w:r w:rsidR="00707FAC">
        <w:rPr>
          <w:szCs w:val="28"/>
        </w:rPr>
        <w:tab/>
      </w:r>
      <w:r w:rsidR="00932EF5">
        <w:rPr>
          <w:szCs w:val="28"/>
        </w:rPr>
        <w:t>5</w:t>
      </w:r>
    </w:p>
    <w:p w14:paraId="227C9DFD" w14:textId="77777777" w:rsidR="0002646D" w:rsidRDefault="0002646D">
      <w:pPr>
        <w:rPr>
          <w:szCs w:val="28"/>
        </w:rPr>
      </w:pPr>
    </w:p>
    <w:p w14:paraId="227C9DFE" w14:textId="77777777" w:rsidR="0002646D" w:rsidRDefault="00932EF5">
      <w:pPr>
        <w:numPr>
          <w:ilvl w:val="0"/>
          <w:numId w:val="15"/>
        </w:numPr>
        <w:rPr>
          <w:szCs w:val="28"/>
        </w:rPr>
      </w:pPr>
      <w:r>
        <w:rPr>
          <w:szCs w:val="28"/>
        </w:rPr>
        <w:t>Agreements</w:t>
      </w:r>
      <w:r>
        <w:rPr>
          <w:szCs w:val="28"/>
        </w:rPr>
        <w:tab/>
      </w:r>
      <w:r>
        <w:rPr>
          <w:szCs w:val="28"/>
        </w:rPr>
        <w:tab/>
      </w:r>
      <w:r>
        <w:rPr>
          <w:szCs w:val="28"/>
        </w:rPr>
        <w:tab/>
      </w:r>
      <w:r>
        <w:rPr>
          <w:szCs w:val="28"/>
        </w:rPr>
        <w:tab/>
      </w:r>
      <w:r>
        <w:rPr>
          <w:szCs w:val="28"/>
        </w:rPr>
        <w:tab/>
      </w:r>
      <w:r>
        <w:rPr>
          <w:szCs w:val="28"/>
        </w:rPr>
        <w:tab/>
      </w:r>
      <w:r>
        <w:rPr>
          <w:szCs w:val="28"/>
        </w:rPr>
        <w:tab/>
      </w:r>
      <w:r>
        <w:rPr>
          <w:szCs w:val="28"/>
        </w:rPr>
        <w:tab/>
        <w:t>7</w:t>
      </w:r>
    </w:p>
    <w:p w14:paraId="227C9DFF" w14:textId="77777777" w:rsidR="0002646D" w:rsidRDefault="0002646D">
      <w:pPr>
        <w:rPr>
          <w:szCs w:val="28"/>
        </w:rPr>
      </w:pPr>
    </w:p>
    <w:p w14:paraId="227C9E00" w14:textId="77777777" w:rsidR="0002646D" w:rsidRDefault="00932EF5">
      <w:pPr>
        <w:numPr>
          <w:ilvl w:val="0"/>
          <w:numId w:val="15"/>
        </w:numPr>
        <w:rPr>
          <w:szCs w:val="28"/>
        </w:rPr>
      </w:pPr>
      <w:r>
        <w:rPr>
          <w:szCs w:val="28"/>
        </w:rPr>
        <w:t>Reporting Requirements</w:t>
      </w:r>
      <w:r>
        <w:rPr>
          <w:szCs w:val="28"/>
        </w:rPr>
        <w:tab/>
      </w:r>
      <w:r>
        <w:rPr>
          <w:szCs w:val="28"/>
        </w:rPr>
        <w:tab/>
      </w:r>
      <w:r>
        <w:rPr>
          <w:szCs w:val="28"/>
        </w:rPr>
        <w:tab/>
      </w:r>
      <w:r>
        <w:rPr>
          <w:szCs w:val="28"/>
        </w:rPr>
        <w:tab/>
      </w:r>
      <w:r>
        <w:rPr>
          <w:szCs w:val="28"/>
        </w:rPr>
        <w:tab/>
      </w:r>
      <w:r>
        <w:rPr>
          <w:szCs w:val="28"/>
        </w:rPr>
        <w:tab/>
        <w:t>8</w:t>
      </w:r>
    </w:p>
    <w:p w14:paraId="227C9E01" w14:textId="77777777" w:rsidR="0002646D" w:rsidRDefault="0002646D">
      <w:pPr>
        <w:rPr>
          <w:szCs w:val="28"/>
        </w:rPr>
      </w:pPr>
    </w:p>
    <w:p w14:paraId="227C9E02" w14:textId="77777777" w:rsidR="0002646D" w:rsidRDefault="0002646D">
      <w:pPr>
        <w:numPr>
          <w:ilvl w:val="0"/>
          <w:numId w:val="15"/>
        </w:numPr>
        <w:rPr>
          <w:szCs w:val="28"/>
        </w:rPr>
      </w:pPr>
      <w:r>
        <w:rPr>
          <w:szCs w:val="28"/>
        </w:rPr>
        <w:t>Application Process</w:t>
      </w:r>
      <w:r w:rsidR="002312F3">
        <w:rPr>
          <w:szCs w:val="28"/>
        </w:rPr>
        <w:tab/>
      </w:r>
      <w:r w:rsidR="002312F3">
        <w:rPr>
          <w:szCs w:val="28"/>
        </w:rPr>
        <w:tab/>
      </w:r>
      <w:r w:rsidR="00932EF5">
        <w:rPr>
          <w:szCs w:val="28"/>
        </w:rPr>
        <w:tab/>
      </w:r>
      <w:r w:rsidR="00932EF5">
        <w:rPr>
          <w:szCs w:val="28"/>
        </w:rPr>
        <w:tab/>
      </w:r>
      <w:r w:rsidR="00932EF5">
        <w:rPr>
          <w:szCs w:val="28"/>
        </w:rPr>
        <w:tab/>
      </w:r>
      <w:r w:rsidR="00932EF5">
        <w:rPr>
          <w:szCs w:val="28"/>
        </w:rPr>
        <w:tab/>
      </w:r>
      <w:r w:rsidR="00932EF5">
        <w:rPr>
          <w:szCs w:val="28"/>
        </w:rPr>
        <w:tab/>
        <w:t>8</w:t>
      </w:r>
    </w:p>
    <w:p w14:paraId="227C9E03" w14:textId="77777777" w:rsidR="0002646D" w:rsidRDefault="0002646D">
      <w:pPr>
        <w:rPr>
          <w:szCs w:val="28"/>
        </w:rPr>
      </w:pPr>
    </w:p>
    <w:p w14:paraId="227C9E04" w14:textId="77777777" w:rsidR="0002646D" w:rsidRDefault="00230F38">
      <w:pPr>
        <w:numPr>
          <w:ilvl w:val="0"/>
          <w:numId w:val="15"/>
        </w:numPr>
        <w:rPr>
          <w:szCs w:val="28"/>
        </w:rPr>
      </w:pPr>
      <w:r>
        <w:rPr>
          <w:szCs w:val="28"/>
        </w:rPr>
        <w:t>Proposal Evaluation</w:t>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t>9</w:t>
      </w:r>
    </w:p>
    <w:p w14:paraId="227C9E05" w14:textId="77777777" w:rsidR="0002646D" w:rsidRDefault="0002646D">
      <w:pPr>
        <w:rPr>
          <w:szCs w:val="28"/>
        </w:rPr>
      </w:pPr>
    </w:p>
    <w:p w14:paraId="227C9E06" w14:textId="77777777" w:rsidR="0002646D" w:rsidRDefault="00AD5AA3">
      <w:pPr>
        <w:numPr>
          <w:ilvl w:val="0"/>
          <w:numId w:val="15"/>
        </w:numPr>
      </w:pPr>
      <w:r>
        <w:rPr>
          <w:szCs w:val="28"/>
        </w:rPr>
        <w:t>Selection Process</w:t>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t>9</w:t>
      </w:r>
    </w:p>
    <w:p w14:paraId="227C9E07" w14:textId="77777777" w:rsidR="0002646D" w:rsidRDefault="0002646D"/>
    <w:p w14:paraId="227C9E08" w14:textId="77777777" w:rsidR="0002646D" w:rsidRDefault="0002646D">
      <w:pPr>
        <w:numPr>
          <w:ilvl w:val="0"/>
          <w:numId w:val="15"/>
        </w:numPr>
      </w:pPr>
      <w:r>
        <w:rPr>
          <w:szCs w:val="28"/>
        </w:rPr>
        <w:t>Appeal Process</w:t>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t>10</w:t>
      </w:r>
    </w:p>
    <w:p w14:paraId="227C9E09" w14:textId="77777777" w:rsidR="0002646D" w:rsidRDefault="0002646D">
      <w:pPr>
        <w:rPr>
          <w:szCs w:val="28"/>
        </w:rPr>
      </w:pPr>
    </w:p>
    <w:p w14:paraId="227C9E0A" w14:textId="77777777" w:rsidR="0002646D" w:rsidRDefault="0002646D">
      <w:pPr>
        <w:numPr>
          <w:ilvl w:val="0"/>
          <w:numId w:val="15"/>
        </w:numPr>
      </w:pPr>
      <w:r>
        <w:rPr>
          <w:szCs w:val="28"/>
        </w:rPr>
        <w:t>Pro</w:t>
      </w:r>
      <w:r w:rsidR="00932EF5">
        <w:rPr>
          <w:szCs w:val="28"/>
        </w:rPr>
        <w:t>prietary Information</w:t>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r>
      <w:r w:rsidR="00932EF5">
        <w:rPr>
          <w:szCs w:val="28"/>
        </w:rPr>
        <w:tab/>
        <w:t>10</w:t>
      </w:r>
    </w:p>
    <w:p w14:paraId="227C9E0B" w14:textId="77777777" w:rsidR="0002646D" w:rsidRDefault="0002646D"/>
    <w:p w14:paraId="227C9E0C" w14:textId="77777777" w:rsidR="0002646D" w:rsidRDefault="0002646D">
      <w:pPr>
        <w:numPr>
          <w:ilvl w:val="0"/>
          <w:numId w:val="15"/>
        </w:numPr>
      </w:pPr>
      <w:r>
        <w:rPr>
          <w:szCs w:val="28"/>
        </w:rPr>
        <w:t>Propo</w:t>
      </w:r>
      <w:r w:rsidR="00654733">
        <w:rPr>
          <w:szCs w:val="28"/>
        </w:rPr>
        <w:t>s</w:t>
      </w:r>
      <w:r w:rsidR="00932EF5">
        <w:rPr>
          <w:szCs w:val="28"/>
        </w:rPr>
        <w:t>al Procedure and Timeline</w:t>
      </w:r>
      <w:r w:rsidR="00932EF5">
        <w:rPr>
          <w:szCs w:val="28"/>
        </w:rPr>
        <w:tab/>
      </w:r>
      <w:r w:rsidR="00932EF5">
        <w:rPr>
          <w:szCs w:val="28"/>
        </w:rPr>
        <w:tab/>
      </w:r>
      <w:r w:rsidR="00932EF5">
        <w:rPr>
          <w:szCs w:val="28"/>
        </w:rPr>
        <w:tab/>
      </w:r>
      <w:r w:rsidR="00932EF5">
        <w:rPr>
          <w:szCs w:val="28"/>
        </w:rPr>
        <w:tab/>
      </w:r>
      <w:r w:rsidR="00932EF5">
        <w:rPr>
          <w:szCs w:val="28"/>
        </w:rPr>
        <w:tab/>
        <w:t>11</w:t>
      </w:r>
    </w:p>
    <w:p w14:paraId="227C9E0D" w14:textId="77777777" w:rsidR="0002646D" w:rsidRDefault="0002646D">
      <w:bookmarkStart w:id="0" w:name="_Toc99106658"/>
    </w:p>
    <w:p w14:paraId="227C9E0E" w14:textId="77777777" w:rsidR="0002646D" w:rsidRDefault="0002646D"/>
    <w:p w14:paraId="227C9E0F" w14:textId="77777777" w:rsidR="0002646D" w:rsidRDefault="0002646D"/>
    <w:p w14:paraId="227C9E10" w14:textId="77777777" w:rsidR="0002646D" w:rsidRDefault="0002646D"/>
    <w:p w14:paraId="227C9E11" w14:textId="77777777" w:rsidR="0002646D" w:rsidRDefault="0002646D"/>
    <w:p w14:paraId="227C9E12" w14:textId="77777777" w:rsidR="0002646D" w:rsidRDefault="0002646D"/>
    <w:p w14:paraId="227C9E13" w14:textId="77777777" w:rsidR="0002646D" w:rsidRDefault="0002646D"/>
    <w:p w14:paraId="227C9E14" w14:textId="77777777" w:rsidR="0002646D" w:rsidRDefault="0002646D"/>
    <w:p w14:paraId="227C9E15" w14:textId="77777777" w:rsidR="0002646D" w:rsidRDefault="0002646D"/>
    <w:p w14:paraId="227C9E16" w14:textId="77777777" w:rsidR="0002646D" w:rsidRDefault="0002646D"/>
    <w:p w14:paraId="227C9E17" w14:textId="77777777" w:rsidR="0002646D" w:rsidRDefault="0002646D"/>
    <w:p w14:paraId="227C9E18" w14:textId="77777777" w:rsidR="0002646D" w:rsidRDefault="0002646D"/>
    <w:p w14:paraId="227C9E19" w14:textId="77777777" w:rsidR="0002646D" w:rsidRDefault="0002646D"/>
    <w:p w14:paraId="227C9E1A" w14:textId="77777777" w:rsidR="0002646D" w:rsidRDefault="0002646D"/>
    <w:p w14:paraId="227C9E1B" w14:textId="77777777" w:rsidR="0002646D" w:rsidRDefault="0002646D"/>
    <w:p w14:paraId="227C9E1C" w14:textId="77777777" w:rsidR="00556B30" w:rsidRDefault="00556B30"/>
    <w:p w14:paraId="227C9E1D" w14:textId="77777777" w:rsidR="00556B30" w:rsidRDefault="00556B30"/>
    <w:p w14:paraId="227C9E1E" w14:textId="77777777" w:rsidR="0002646D" w:rsidRDefault="0002646D"/>
    <w:p w14:paraId="227C9E1F" w14:textId="77777777" w:rsidR="007F4060" w:rsidRDefault="007F4060"/>
    <w:p w14:paraId="227C9E20" w14:textId="77777777" w:rsidR="007F4060" w:rsidRDefault="007F4060"/>
    <w:p w14:paraId="227C9E21" w14:textId="77777777" w:rsidR="00CC337C" w:rsidRDefault="00CC337C" w:rsidP="008519AF">
      <w:pPr>
        <w:pStyle w:val="Heading3"/>
        <w:jc w:val="left"/>
      </w:pPr>
    </w:p>
    <w:p w14:paraId="227C9E22" w14:textId="77777777" w:rsidR="0090115B" w:rsidRPr="0090115B" w:rsidRDefault="0090115B" w:rsidP="0090115B"/>
    <w:p w14:paraId="227C9E23" w14:textId="77777777" w:rsidR="008519AF" w:rsidRPr="008519AF" w:rsidRDefault="008519AF" w:rsidP="008519AF"/>
    <w:p w14:paraId="227C9E24" w14:textId="446990CB" w:rsidR="0002646D" w:rsidRDefault="007F4060">
      <w:pPr>
        <w:pStyle w:val="Heading3"/>
      </w:pPr>
      <w:r>
        <w:lastRenderedPageBreak/>
        <w:t>20</w:t>
      </w:r>
      <w:r w:rsidR="00B271D0">
        <w:t>2</w:t>
      </w:r>
      <w:r w:rsidR="00CE635D">
        <w:t>6</w:t>
      </w:r>
      <w:r w:rsidR="00B271D0">
        <w:t xml:space="preserve"> </w:t>
      </w:r>
      <w:r w:rsidR="0002646D">
        <w:t>Older Americans Act Title III-B</w:t>
      </w:r>
    </w:p>
    <w:p w14:paraId="227C9E25" w14:textId="77777777" w:rsidR="0002646D" w:rsidRDefault="0002646D">
      <w:pPr>
        <w:jc w:val="center"/>
        <w:rPr>
          <w:b/>
        </w:rPr>
      </w:pPr>
      <w:r>
        <w:rPr>
          <w:b/>
        </w:rPr>
        <w:t>Supportive Services Funding</w:t>
      </w:r>
    </w:p>
    <w:p w14:paraId="227C9E26" w14:textId="77777777" w:rsidR="0002646D" w:rsidRDefault="0002646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28" w14:textId="77777777">
        <w:tc>
          <w:tcPr>
            <w:tcW w:w="9576" w:type="dxa"/>
            <w:shd w:val="clear" w:color="auto" w:fill="000000"/>
          </w:tcPr>
          <w:p w14:paraId="227C9E27" w14:textId="77777777" w:rsidR="0002646D" w:rsidRDefault="0002646D">
            <w:pPr>
              <w:outlineLvl w:val="0"/>
              <w:rPr>
                <w:b/>
                <w:color w:val="FFFFFF"/>
                <w:sz w:val="28"/>
                <w:szCs w:val="28"/>
              </w:rPr>
            </w:pPr>
            <w:bookmarkStart w:id="1" w:name="_Toc100554579"/>
            <w:r>
              <w:rPr>
                <w:b/>
                <w:sz w:val="28"/>
                <w:szCs w:val="28"/>
              </w:rPr>
              <w:t>I. Background and Purpose</w:t>
            </w:r>
            <w:bookmarkEnd w:id="1"/>
          </w:p>
        </w:tc>
      </w:tr>
      <w:bookmarkEnd w:id="0"/>
    </w:tbl>
    <w:p w14:paraId="227C9E29" w14:textId="77777777" w:rsidR="0002646D" w:rsidRDefault="0002646D">
      <w:pPr>
        <w:outlineLvl w:val="0"/>
        <w:rPr>
          <w:b/>
          <w:sz w:val="28"/>
          <w:szCs w:val="28"/>
        </w:rPr>
      </w:pPr>
    </w:p>
    <w:p w14:paraId="227C9E2A" w14:textId="77777777" w:rsidR="0002646D" w:rsidRDefault="000A70E6">
      <w:r>
        <w:t xml:space="preserve">The Arrowhead Regional Development Commission’s (ARDC) Arrowhead Area Agency on Aging (AAAA) has been designated by the Minnesota Board on Aging to administer Older Americans Act funds in the seven county Arrowhead region of northeast Minnesota – Aitkin, Carlton, Cook, Itasca, Koochiching, Lake and St. Louis Counties.  </w:t>
      </w:r>
      <w:r w:rsidRPr="008503AA">
        <w:t>In partnership with public and private organizations, the ARDC’s AAAA seeks to help older adults age successfully by developing and coordinating community care options, advocating for aging issues, maximizing service effectiveness and linking people with information.</w:t>
      </w:r>
    </w:p>
    <w:p w14:paraId="227C9E2B" w14:textId="77777777" w:rsidR="0002646D" w:rsidRDefault="0002646D"/>
    <w:p w14:paraId="227C9E2C" w14:textId="77777777" w:rsidR="004C7EF3" w:rsidRDefault="0002646D">
      <w:r>
        <w:t xml:space="preserve">The objectives of Title III of the Older Americans Act (OAA) of 1965, as amended, are to (1) help older persons secure and maintain maximum independence and dignity in a home environment, (2) remove barriers to independence for older persons, and (3) provide a continuum of </w:t>
      </w:r>
      <w:r w:rsidR="004C7EF3">
        <w:t xml:space="preserve">care for the vulnerable elderly.  Title III-B of the OAA </w:t>
      </w:r>
      <w:proofErr w:type="gramStart"/>
      <w:r w:rsidR="004C7EF3">
        <w:t>provides for</w:t>
      </w:r>
      <w:proofErr w:type="gramEnd"/>
      <w:r w:rsidR="004C7EF3">
        <w:t xml:space="preserve"> supportive services </w:t>
      </w:r>
      <w:proofErr w:type="gramStart"/>
      <w:r w:rsidR="004C7EF3">
        <w:t>funding</w:t>
      </w:r>
      <w:proofErr w:type="gramEnd"/>
      <w:r w:rsidR="004C7EF3">
        <w:t xml:space="preserve"> and it is used to support home and </w:t>
      </w:r>
      <w:r w:rsidR="00155A73">
        <w:t>community-based</w:t>
      </w:r>
      <w:r w:rsidR="004C7EF3">
        <w:t xml:space="preserve"> care that enhances the capacity of older persons to remain self-sufficient.</w:t>
      </w:r>
    </w:p>
    <w:p w14:paraId="227C9E2D" w14:textId="77777777" w:rsidR="004C7EF3" w:rsidRDefault="004C7EF3"/>
    <w:p w14:paraId="227C9E2E" w14:textId="77777777" w:rsidR="007F78D8" w:rsidRDefault="004C7EF3" w:rsidP="004C7EF3">
      <w:r>
        <w:t xml:space="preserve">With funding from Title III-B of the OAA, the AAAA </w:t>
      </w:r>
      <w:r w:rsidR="00556B30">
        <w:rPr>
          <w:color w:val="000000"/>
        </w:rPr>
        <w:t>is seek</w:t>
      </w:r>
      <w:r>
        <w:rPr>
          <w:color w:val="000000"/>
        </w:rPr>
        <w:t xml:space="preserve">ing proposals from </w:t>
      </w:r>
      <w:r>
        <w:t>public and private non-profit organizations and units of government</w:t>
      </w:r>
      <w:r>
        <w:rPr>
          <w:color w:val="000000"/>
        </w:rPr>
        <w:t xml:space="preserve"> </w:t>
      </w:r>
      <w:r>
        <w:t xml:space="preserve">interested in developing, continuing or expanding </w:t>
      </w:r>
      <w:r w:rsidR="004B2F48">
        <w:t xml:space="preserve">supportive </w:t>
      </w:r>
      <w:r>
        <w:t>services that maintain an older adult’s independence and safety in their community.</w:t>
      </w:r>
      <w:r w:rsidR="004D3667">
        <w:t xml:space="preserve">  For-profit organizations are granted funds only after dispensation of a waiver from the Minnesota Board on Aging.  </w:t>
      </w:r>
    </w:p>
    <w:p w14:paraId="227C9E2F" w14:textId="77777777" w:rsidR="007F78D8" w:rsidRDefault="007F78D8" w:rsidP="004C7EF3"/>
    <w:p w14:paraId="227C9E30" w14:textId="2DB8C4C0" w:rsidR="004D3667" w:rsidRDefault="004D3667" w:rsidP="004C7EF3">
      <w:r>
        <w:t xml:space="preserve">The accepted proposal will become a binding part of </w:t>
      </w:r>
      <w:proofErr w:type="gramStart"/>
      <w:r w:rsidR="001035E8">
        <w:t>grant</w:t>
      </w:r>
      <w:proofErr w:type="gramEnd"/>
      <w:r w:rsidR="001035E8">
        <w:t xml:space="preserve"> award</w:t>
      </w:r>
      <w:r>
        <w:t xml:space="preserve"> </w:t>
      </w:r>
      <w:proofErr w:type="gramStart"/>
      <w:r>
        <w:t>agreement</w:t>
      </w:r>
      <w:proofErr w:type="gramEnd"/>
      <w:r>
        <w:t xml:space="preserve"> and the applicant will be monitored to ensure compliance with the proposal.</w:t>
      </w:r>
    </w:p>
    <w:p w14:paraId="227C9E31" w14:textId="77777777" w:rsidR="004D3667" w:rsidRDefault="004D3667" w:rsidP="004C7EF3"/>
    <w:p w14:paraId="227C9E32" w14:textId="77777777" w:rsidR="004C7EF3" w:rsidRDefault="004D3667" w:rsidP="004C7EF3">
      <w:r>
        <w:t>This is a solicitation for applications and is not to be construed as an offer, a guarantee, or promise that the proposed services will be funded by the AAAA.</w:t>
      </w:r>
      <w:r w:rsidR="004C7EF3">
        <w:t xml:space="preserve">  </w:t>
      </w:r>
    </w:p>
    <w:p w14:paraId="227C9E33" w14:textId="77777777" w:rsidR="0002646D" w:rsidRDefault="0002646D">
      <w:pPr>
        <w:outlineLvl w:val="0"/>
      </w:pPr>
    </w:p>
    <w:p w14:paraId="227C9E34" w14:textId="77777777" w:rsidR="0002646D" w:rsidRDefault="0002646D">
      <w:pP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36" w14:textId="77777777">
        <w:trPr>
          <w:trHeight w:val="89"/>
        </w:trPr>
        <w:tc>
          <w:tcPr>
            <w:tcW w:w="9576" w:type="dxa"/>
            <w:shd w:val="clear" w:color="auto" w:fill="000000"/>
          </w:tcPr>
          <w:p w14:paraId="227C9E35" w14:textId="718CFBDF" w:rsidR="0002646D" w:rsidRDefault="0002646D">
            <w:pPr>
              <w:outlineLvl w:val="0"/>
              <w:rPr>
                <w:b/>
                <w:color w:val="FFFFFF"/>
                <w:sz w:val="28"/>
                <w:szCs w:val="28"/>
              </w:rPr>
            </w:pPr>
            <w:bookmarkStart w:id="2" w:name="_Toc100554580"/>
            <w:r>
              <w:rPr>
                <w:b/>
                <w:color w:val="FFFFFF"/>
                <w:sz w:val="28"/>
                <w:szCs w:val="28"/>
              </w:rPr>
              <w:t>II. Use of Funding and Grant Period</w:t>
            </w:r>
            <w:bookmarkEnd w:id="2"/>
          </w:p>
        </w:tc>
      </w:tr>
    </w:tbl>
    <w:p w14:paraId="227C9E37" w14:textId="77777777" w:rsidR="0002646D" w:rsidRDefault="0002646D">
      <w:pPr>
        <w:ind w:left="360"/>
        <w:outlineLvl w:val="0"/>
      </w:pPr>
    </w:p>
    <w:p w14:paraId="227C9E38" w14:textId="77777777" w:rsidR="00B903ED" w:rsidRDefault="00B903ED" w:rsidP="00B903ED">
      <w:r>
        <w:t xml:space="preserve">The ARDC AAAA will fund supportive service projects within the geographic boundaries of Aitkin, Carlton, Cook, Itasca, Koochiching, Lake and St. Louis Counties.  </w:t>
      </w:r>
    </w:p>
    <w:p w14:paraId="227C9E39" w14:textId="77777777" w:rsidR="007657DD" w:rsidRDefault="007657DD"/>
    <w:p w14:paraId="227C9E3A" w14:textId="77777777" w:rsidR="003F182F" w:rsidRDefault="003F182F">
      <w:r w:rsidRPr="00533723">
        <w:t xml:space="preserve">The </w:t>
      </w:r>
      <w:r w:rsidR="006C0BE6" w:rsidRPr="00533723">
        <w:t xml:space="preserve">following </w:t>
      </w:r>
      <w:r w:rsidR="007B1B25" w:rsidRPr="00533723">
        <w:t xml:space="preserve">services </w:t>
      </w:r>
      <w:r w:rsidR="006C0BE6" w:rsidRPr="00533723">
        <w:t>will be given the highest priority for funding:</w:t>
      </w:r>
      <w:r w:rsidR="0002646D" w:rsidRPr="00F526F3">
        <w:t xml:space="preserve"> </w:t>
      </w:r>
    </w:p>
    <w:p w14:paraId="227C9E3B" w14:textId="77777777" w:rsidR="003F182F" w:rsidRPr="003F182F" w:rsidRDefault="009008C6" w:rsidP="003F182F">
      <w:pPr>
        <w:numPr>
          <w:ilvl w:val="0"/>
          <w:numId w:val="32"/>
        </w:numPr>
        <w:rPr>
          <w:b/>
        </w:rPr>
      </w:pPr>
      <w:r w:rsidRPr="003F182F">
        <w:rPr>
          <w:b/>
        </w:rPr>
        <w:t xml:space="preserve">assisted transportation, </w:t>
      </w:r>
    </w:p>
    <w:p w14:paraId="227C9E3C" w14:textId="77777777" w:rsidR="003F182F" w:rsidRDefault="007503A4" w:rsidP="003F182F">
      <w:pPr>
        <w:numPr>
          <w:ilvl w:val="0"/>
          <w:numId w:val="32"/>
        </w:numPr>
      </w:pPr>
      <w:r w:rsidRPr="003F182F">
        <w:rPr>
          <w:b/>
        </w:rPr>
        <w:t>chore</w:t>
      </w:r>
      <w:r w:rsidRPr="00F526F3">
        <w:t xml:space="preserve">, </w:t>
      </w:r>
    </w:p>
    <w:p w14:paraId="227C9E3D" w14:textId="77777777" w:rsidR="00ED5515" w:rsidRDefault="00323B33" w:rsidP="00CC42E6">
      <w:pPr>
        <w:numPr>
          <w:ilvl w:val="0"/>
          <w:numId w:val="32"/>
        </w:numPr>
      </w:pPr>
      <w:r w:rsidRPr="003F182F">
        <w:rPr>
          <w:b/>
        </w:rPr>
        <w:t>co</w:t>
      </w:r>
      <w:r w:rsidR="007B5491">
        <w:rPr>
          <w:b/>
        </w:rPr>
        <w:t>nsultation</w:t>
      </w:r>
      <w:r w:rsidRPr="00F526F3">
        <w:t>,</w:t>
      </w:r>
      <w:r w:rsidR="0023689A" w:rsidRPr="00F526F3">
        <w:t xml:space="preserve"> </w:t>
      </w:r>
    </w:p>
    <w:p w14:paraId="227C9E3E" w14:textId="77777777" w:rsidR="003C23F1" w:rsidRPr="003C23F1" w:rsidRDefault="003C23F1" w:rsidP="00CC42E6">
      <w:pPr>
        <w:numPr>
          <w:ilvl w:val="0"/>
          <w:numId w:val="32"/>
        </w:numPr>
      </w:pPr>
      <w:r>
        <w:rPr>
          <w:b/>
        </w:rPr>
        <w:t>homemaker</w:t>
      </w:r>
    </w:p>
    <w:p w14:paraId="227C9E3F" w14:textId="77777777" w:rsidR="003C23F1" w:rsidRDefault="003C23F1" w:rsidP="00CC42E6">
      <w:pPr>
        <w:numPr>
          <w:ilvl w:val="0"/>
          <w:numId w:val="32"/>
        </w:numPr>
      </w:pPr>
      <w:r>
        <w:rPr>
          <w:b/>
        </w:rPr>
        <w:t>home modification</w:t>
      </w:r>
    </w:p>
    <w:p w14:paraId="227C9E40" w14:textId="77777777" w:rsidR="00ED5515" w:rsidRDefault="00ED5515" w:rsidP="00ED5515">
      <w:pPr>
        <w:numPr>
          <w:ilvl w:val="0"/>
          <w:numId w:val="32"/>
        </w:numPr>
      </w:pPr>
      <w:r w:rsidRPr="003F182F">
        <w:rPr>
          <w:b/>
        </w:rPr>
        <w:t>information and assistance</w:t>
      </w:r>
      <w:r w:rsidRPr="00F526F3">
        <w:t>,</w:t>
      </w:r>
      <w:r w:rsidR="00E349EC">
        <w:t xml:space="preserve"> </w:t>
      </w:r>
    </w:p>
    <w:p w14:paraId="227C9E41" w14:textId="77777777" w:rsidR="003F182F" w:rsidRDefault="007503A4" w:rsidP="00FF5909">
      <w:pPr>
        <w:numPr>
          <w:ilvl w:val="0"/>
          <w:numId w:val="32"/>
        </w:numPr>
      </w:pPr>
      <w:r w:rsidRPr="003F182F">
        <w:rPr>
          <w:b/>
        </w:rPr>
        <w:t>legal assistance</w:t>
      </w:r>
      <w:r w:rsidR="003F182F">
        <w:t xml:space="preserve">, </w:t>
      </w:r>
      <w:proofErr w:type="gramStart"/>
      <w:r w:rsidR="00ED5515">
        <w:t>Note</w:t>
      </w:r>
      <w:proofErr w:type="gramEnd"/>
      <w:r w:rsidR="00ED5515">
        <w:t xml:space="preserve">: </w:t>
      </w:r>
      <w:r w:rsidR="003F182F" w:rsidRPr="00F526F3">
        <w:t xml:space="preserve">One region-wide legal assistance project (federally mandated service) will be funded.  </w:t>
      </w:r>
    </w:p>
    <w:p w14:paraId="227C9E42" w14:textId="77777777" w:rsidR="003F182F" w:rsidRDefault="00DB5296" w:rsidP="003F182F">
      <w:pPr>
        <w:numPr>
          <w:ilvl w:val="0"/>
          <w:numId w:val="32"/>
        </w:numPr>
        <w:rPr>
          <w:b/>
        </w:rPr>
      </w:pPr>
      <w:r w:rsidRPr="003F182F">
        <w:rPr>
          <w:b/>
        </w:rPr>
        <w:lastRenderedPageBreak/>
        <w:t>legal education</w:t>
      </w:r>
      <w:r w:rsidR="00E349EC">
        <w:rPr>
          <w:b/>
        </w:rPr>
        <w:t>,</w:t>
      </w:r>
      <w:r w:rsidR="00FF5909">
        <w:t xml:space="preserve"> </w:t>
      </w:r>
      <w:proofErr w:type="gramStart"/>
      <w:r w:rsidR="00FF5909">
        <w:t>Note</w:t>
      </w:r>
      <w:proofErr w:type="gramEnd"/>
      <w:r w:rsidR="00FF5909">
        <w:t xml:space="preserve">: The provider of </w:t>
      </w:r>
      <w:r w:rsidR="00FF5909" w:rsidRPr="00F526F3">
        <w:t xml:space="preserve">legal assistance </w:t>
      </w:r>
      <w:r w:rsidR="00FF5909">
        <w:t>must also provide legal education</w:t>
      </w:r>
      <w:r w:rsidR="00FF5909" w:rsidRPr="00F526F3">
        <w:t xml:space="preserve">.  </w:t>
      </w:r>
      <w:r w:rsidR="006C0BE6" w:rsidRPr="003F182F">
        <w:rPr>
          <w:b/>
        </w:rPr>
        <w:t xml:space="preserve"> </w:t>
      </w:r>
    </w:p>
    <w:p w14:paraId="227C9E43" w14:textId="77777777" w:rsidR="003C23F1" w:rsidRDefault="003C23F1" w:rsidP="003F182F">
      <w:pPr>
        <w:numPr>
          <w:ilvl w:val="0"/>
          <w:numId w:val="32"/>
        </w:numPr>
        <w:rPr>
          <w:b/>
        </w:rPr>
      </w:pPr>
      <w:r>
        <w:rPr>
          <w:b/>
        </w:rPr>
        <w:t>technology</w:t>
      </w:r>
    </w:p>
    <w:p w14:paraId="227C9E44" w14:textId="77777777" w:rsidR="00E349EC" w:rsidRPr="003F182F" w:rsidRDefault="00E349EC" w:rsidP="00CC42E6">
      <w:pPr>
        <w:ind w:left="360"/>
        <w:rPr>
          <w:b/>
        </w:rPr>
      </w:pPr>
    </w:p>
    <w:p w14:paraId="227C9E45" w14:textId="6AC4C461" w:rsidR="0002646D" w:rsidRDefault="00CC261C">
      <w:r w:rsidRPr="00533723">
        <w:t>Preference</w:t>
      </w:r>
      <w:r w:rsidRPr="00A1612B">
        <w:t xml:space="preserve"> will</w:t>
      </w:r>
      <w:r w:rsidR="00533723">
        <w:t xml:space="preserve"> </w:t>
      </w:r>
      <w:r w:rsidRPr="00A1612B">
        <w:t xml:space="preserve">be given for projects </w:t>
      </w:r>
      <w:r w:rsidR="0050596E" w:rsidRPr="00A1612B">
        <w:t xml:space="preserve">with a </w:t>
      </w:r>
      <w:r w:rsidR="00E05012" w:rsidRPr="00A1612B">
        <w:t>risk management component</w:t>
      </w:r>
      <w:r w:rsidR="007657DD" w:rsidRPr="00A1612B">
        <w:t xml:space="preserve">.  </w:t>
      </w:r>
      <w:r w:rsidR="00E05012" w:rsidRPr="00A1612B">
        <w:rPr>
          <w:b/>
        </w:rPr>
        <w:t>Risk management</w:t>
      </w:r>
      <w:r w:rsidR="00913FC9" w:rsidRPr="00A1612B">
        <w:rPr>
          <w:b/>
        </w:rPr>
        <w:t xml:space="preserve"> </w:t>
      </w:r>
      <w:r w:rsidR="00E05012" w:rsidRPr="00A1612B">
        <w:t>is</w:t>
      </w:r>
      <w:r w:rsidR="00E05012">
        <w:t xml:space="preserve"> </w:t>
      </w:r>
      <w:r w:rsidR="003F0F89">
        <w:t xml:space="preserve">a four-step process that involves </w:t>
      </w:r>
      <w:r w:rsidR="00E05012">
        <w:t xml:space="preserve">the identification, assessment and prioritization of risks followed by </w:t>
      </w:r>
      <w:r w:rsidR="00312281">
        <w:t>referral to services that</w:t>
      </w:r>
      <w:r w:rsidR="001B1754">
        <w:t xml:space="preserve"> help </w:t>
      </w:r>
      <w:r w:rsidR="006F48A1">
        <w:t xml:space="preserve">the senior </w:t>
      </w:r>
      <w:r w:rsidR="001B1754">
        <w:t>mitigate risk</w:t>
      </w:r>
      <w:r w:rsidR="006F48A1">
        <w:t>s</w:t>
      </w:r>
      <w:r w:rsidR="00A22417">
        <w:t xml:space="preserve"> and/or </w:t>
      </w:r>
      <w:r w:rsidR="00727494">
        <w:t xml:space="preserve">address </w:t>
      </w:r>
      <w:r w:rsidR="00A22417">
        <w:t>threats to independence</w:t>
      </w:r>
      <w:r w:rsidR="001B1754">
        <w:t>.</w:t>
      </w:r>
      <w:r w:rsidR="003F0F89">
        <w:t xml:space="preserve">  </w:t>
      </w:r>
      <w:r w:rsidR="00D83ECA">
        <w:t xml:space="preserve">The </w:t>
      </w:r>
      <w:r w:rsidR="003417B4" w:rsidRPr="00780B35">
        <w:rPr>
          <w:b/>
        </w:rPr>
        <w:t>Live Well at Home</w:t>
      </w:r>
      <w:r w:rsidR="00D83ECA">
        <w:t xml:space="preserve"> model of practice</w:t>
      </w:r>
      <w:r w:rsidR="003417B4">
        <w:t xml:space="preserve"> is the preferred framework t</w:t>
      </w:r>
      <w:r w:rsidR="00270FDE">
        <w:t>o follow for</w:t>
      </w:r>
      <w:r w:rsidR="00D83ECA">
        <w:t xml:space="preserve"> risk management pract</w:t>
      </w:r>
      <w:r w:rsidR="00A06A0E">
        <w:t>ices.</w:t>
      </w:r>
      <w:r w:rsidR="00312281">
        <w:t xml:space="preserve">  </w:t>
      </w:r>
      <w:r w:rsidR="00D83ECA">
        <w:t xml:space="preserve">III-B funded </w:t>
      </w:r>
      <w:r w:rsidR="00D83ECA" w:rsidRPr="00D83ECA">
        <w:rPr>
          <w:i/>
        </w:rPr>
        <w:t>consultation</w:t>
      </w:r>
      <w:r w:rsidR="00D83ECA">
        <w:t xml:space="preserve"> is the</w:t>
      </w:r>
      <w:r w:rsidR="00CA3FC1">
        <w:t xml:space="preserve"> Title III-B service name to provide this </w:t>
      </w:r>
      <w:r w:rsidR="00CA3FC1" w:rsidRPr="001D0235">
        <w:t>support planning</w:t>
      </w:r>
      <w:r w:rsidR="00CA3FC1">
        <w:t xml:space="preserve"> </w:t>
      </w:r>
      <w:r w:rsidR="001D0235">
        <w:t>assistance</w:t>
      </w:r>
      <w:r w:rsidR="00CA3FC1">
        <w:t xml:space="preserve">.  </w:t>
      </w:r>
    </w:p>
    <w:p w14:paraId="227C9E46" w14:textId="77777777" w:rsidR="00405284" w:rsidRDefault="00405284"/>
    <w:p w14:paraId="227C9E47" w14:textId="77777777" w:rsidR="00405284" w:rsidRDefault="00405284" w:rsidP="00405284">
      <w:r w:rsidRPr="00533723">
        <w:t>Other fundable III-B services include</w:t>
      </w:r>
      <w:r w:rsidRPr="00F526F3">
        <w:t>: guardianship,</w:t>
      </w:r>
      <w:r w:rsidR="003C23F1">
        <w:t xml:space="preserve"> </w:t>
      </w:r>
      <w:r w:rsidR="00E349EC">
        <w:t>personal care</w:t>
      </w:r>
      <w:r w:rsidR="003C23F1">
        <w:t>, transportation, self-directed supportive services</w:t>
      </w:r>
      <w:r>
        <w:t xml:space="preserve">  </w:t>
      </w:r>
    </w:p>
    <w:p w14:paraId="227C9E48" w14:textId="77777777" w:rsidR="002821A1" w:rsidRDefault="002821A1"/>
    <w:p w14:paraId="227C9E49" w14:textId="31CB01AA" w:rsidR="0002646D" w:rsidRDefault="008E1D27">
      <w:r>
        <w:t xml:space="preserve">Funds will be available January 1, </w:t>
      </w:r>
      <w:proofErr w:type="gramStart"/>
      <w:r>
        <w:t>20</w:t>
      </w:r>
      <w:r w:rsidR="003C23F1">
        <w:t>2</w:t>
      </w:r>
      <w:r w:rsidR="00654AFF">
        <w:t>6</w:t>
      </w:r>
      <w:proofErr w:type="gramEnd"/>
      <w:r>
        <w:t xml:space="preserve"> through Decemb</w:t>
      </w:r>
      <w:r w:rsidR="00CC42E6">
        <w:t>er 31, 20</w:t>
      </w:r>
      <w:r w:rsidR="003C23F1">
        <w:t>2</w:t>
      </w:r>
      <w:r w:rsidR="00654AFF">
        <w:t>6</w:t>
      </w:r>
      <w:r w:rsidR="00CC42E6">
        <w:t xml:space="preserve">.  </w:t>
      </w:r>
      <w:r w:rsidR="516E73EA">
        <w:t xml:space="preserve">Funding amount is to be determined. </w:t>
      </w:r>
      <w:r>
        <w:t xml:space="preserve">Title III-B funds are available for supportive service projects serving older adults </w:t>
      </w:r>
      <w:proofErr w:type="gramStart"/>
      <w:r>
        <w:t>age</w:t>
      </w:r>
      <w:proofErr w:type="gramEnd"/>
      <w:r>
        <w:t xml:space="preserve"> 60 and older in the seven county Arrowhead Region</w:t>
      </w:r>
      <w:r w:rsidR="003C23F1">
        <w:t xml:space="preserve"> (amount subject to change)</w:t>
      </w:r>
      <w:r>
        <w:t xml:space="preserve">.  The possibility for funding beyond December 31, </w:t>
      </w:r>
      <w:proofErr w:type="gramStart"/>
      <w:r>
        <w:t>20</w:t>
      </w:r>
      <w:r w:rsidR="003C23F1">
        <w:t>2</w:t>
      </w:r>
      <w:r w:rsidR="00404206">
        <w:t>6</w:t>
      </w:r>
      <w:proofErr w:type="gramEnd"/>
      <w:r>
        <w:t xml:space="preserve"> is based on successful performance and available funds. </w:t>
      </w:r>
      <w:r w:rsidRPr="00FB3B6A">
        <w:rPr>
          <w:spacing w:val="-3"/>
        </w:rPr>
        <w:t xml:space="preserve">Grants may be renewed annually for up to an additional </w:t>
      </w:r>
      <w:r w:rsidR="003C23F1">
        <w:rPr>
          <w:spacing w:val="-3"/>
        </w:rPr>
        <w:t>two</w:t>
      </w:r>
      <w:r w:rsidRPr="00FB3B6A">
        <w:rPr>
          <w:spacing w:val="-3"/>
        </w:rPr>
        <w:t xml:space="preserve"> years beyond the initial competitive award.</w:t>
      </w:r>
      <w:r>
        <w:rPr>
          <w:spacing w:val="-3"/>
        </w:rPr>
        <w:t xml:space="preserve"> </w:t>
      </w:r>
      <w:r>
        <w:t xml:space="preserve"> </w:t>
      </w:r>
    </w:p>
    <w:p w14:paraId="227C9E4A" w14:textId="77777777" w:rsidR="0002646D" w:rsidRDefault="0002646D"/>
    <w:p w14:paraId="227C9E4B" w14:textId="126DA839" w:rsidR="0002646D" w:rsidRDefault="0002646D">
      <w:r>
        <w:t>In the event funding availability changes, AAAA may amend any funding award to reflect such changes. Such amendment to increase or decrease the dollar value of the grant shall be at the sole discretion of AAAA.</w:t>
      </w:r>
    </w:p>
    <w:p w14:paraId="227C9E4C" w14:textId="77777777" w:rsidR="0002646D" w:rsidRDefault="0002646D"/>
    <w:p w14:paraId="227C9E4D" w14:textId="77777777" w:rsidR="0002646D" w:rsidRDefault="0002646D">
      <w:r w:rsidRPr="009D79C4">
        <w:t xml:space="preserve">Applicants are </w:t>
      </w:r>
      <w:r w:rsidR="00FB0A54" w:rsidRPr="009D79C4">
        <w:t>required to contribute a</w:t>
      </w:r>
      <w:r w:rsidRPr="009D79C4">
        <w:t xml:space="preserve"> </w:t>
      </w:r>
      <w:r w:rsidR="00FB0A54" w:rsidRPr="009D79C4">
        <w:t xml:space="preserve">local </w:t>
      </w:r>
      <w:r w:rsidRPr="009D79C4">
        <w:t xml:space="preserve">match of </w:t>
      </w:r>
      <w:r w:rsidR="002D068C">
        <w:t>fifteen</w:t>
      </w:r>
      <w:r w:rsidRPr="009D79C4">
        <w:t xml:space="preserve"> (</w:t>
      </w:r>
      <w:r w:rsidR="002D068C">
        <w:t>1</w:t>
      </w:r>
      <w:r w:rsidRPr="009D79C4">
        <w:t>5%) percent of the project’s net cost.  Legal assistance</w:t>
      </w:r>
      <w:r w:rsidR="00FB3B6A">
        <w:t xml:space="preserve"> and legal education</w:t>
      </w:r>
      <w:r w:rsidRPr="009D79C4">
        <w:t xml:space="preserve"> services have a </w:t>
      </w:r>
      <w:r w:rsidR="002D068C">
        <w:t>15</w:t>
      </w:r>
      <w:r w:rsidRPr="009D79C4">
        <w:t xml:space="preserve">% </w:t>
      </w:r>
      <w:r w:rsidR="00FB0A54" w:rsidRPr="009D79C4">
        <w:t xml:space="preserve">local </w:t>
      </w:r>
      <w:r w:rsidRPr="009D79C4">
        <w:t>match requirement.  The</w:t>
      </w:r>
      <w:r>
        <w:t xml:space="preserve"> applicant’s match contribution must be from non-federal sources and can be in the form of cash or in-kind contributions.  </w:t>
      </w:r>
    </w:p>
    <w:p w14:paraId="227C9E4E" w14:textId="77777777" w:rsidR="00FB3B6A" w:rsidRDefault="00FB3B6A"/>
    <w:p w14:paraId="227C9E4F" w14:textId="77777777" w:rsidR="00FB3B6A" w:rsidRDefault="00FB3B6A" w:rsidP="00FB3B6A">
      <w:r>
        <w:t>Older Americans Act, Section 344, states</w:t>
      </w:r>
      <w:r w:rsidR="003200C1">
        <w:t xml:space="preserve"> that f</w:t>
      </w:r>
      <w:r>
        <w:t xml:space="preserve">ederal funds may not be used to </w:t>
      </w:r>
      <w:r w:rsidR="003200C1">
        <w:t xml:space="preserve">supplant or </w:t>
      </w:r>
      <w:r w:rsidR="00EF50B3">
        <w:t xml:space="preserve">replace </w:t>
      </w:r>
      <w:r w:rsidR="003200C1">
        <w:t xml:space="preserve">other </w:t>
      </w:r>
      <w:r>
        <w:t>sources</w:t>
      </w:r>
      <w:r w:rsidR="003200C1">
        <w:t xml:space="preserve"> of funds (maintenance of effort)</w:t>
      </w:r>
      <w:r>
        <w:t xml:space="preserve">. </w:t>
      </w:r>
      <w:r w:rsidR="003200C1">
        <w:t xml:space="preserve">This means that existing services </w:t>
      </w:r>
      <w:proofErr w:type="gramStart"/>
      <w:r w:rsidR="003200C1">
        <w:t>similar to</w:t>
      </w:r>
      <w:proofErr w:type="gramEnd"/>
      <w:r w:rsidR="003200C1">
        <w:t xml:space="preserve"> those proposed in this application must be maintained through other sources of funds.  </w:t>
      </w:r>
    </w:p>
    <w:p w14:paraId="227C9E50" w14:textId="77777777" w:rsidR="0002646D" w:rsidRDefault="0002646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14:paraId="227C9E51" w14:textId="77777777" w:rsidR="0002646D" w:rsidRPr="007855E5" w:rsidRDefault="0002646D" w:rsidP="007855E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rPr>
      </w:pPr>
      <w:r w:rsidRPr="003200C1">
        <w:rPr>
          <w:b/>
        </w:rPr>
        <w:t>Projects should make the best use of existing resources:</w:t>
      </w:r>
      <w:r>
        <w:t xml:space="preserve"> incorporating the "informal network" into the service design, using volunteers and other available local resources a</w:t>
      </w:r>
      <w:r w:rsidR="004B2F48">
        <w:t xml:space="preserve">s appropriate; leveraging </w:t>
      </w:r>
      <w:r>
        <w:t xml:space="preserve">support from local municipalities, foundations, school districts, civic groups, fundraising, etc. to increase </w:t>
      </w:r>
      <w:proofErr w:type="gramStart"/>
      <w:r>
        <w:t>funds available</w:t>
      </w:r>
      <w:proofErr w:type="gramEnd"/>
      <w:r>
        <w:t xml:space="preserve"> and create stronger local ownership of the programs; coordinating and complementing the existing formal service network - public, non-profit and for-profit.</w:t>
      </w:r>
      <w:r w:rsidR="005D11F5">
        <w:t xml:space="preserve">  </w:t>
      </w:r>
      <w:r w:rsidR="005D11F5">
        <w:rPr>
          <w:b/>
        </w:rPr>
        <w:t xml:space="preserve">It is expected that organizations will coordinate service with other providers </w:t>
      </w:r>
      <w:proofErr w:type="gramStart"/>
      <w:r w:rsidR="005D11F5">
        <w:rPr>
          <w:b/>
        </w:rPr>
        <w:t>in order to</w:t>
      </w:r>
      <w:proofErr w:type="gramEnd"/>
      <w:r w:rsidR="005D11F5">
        <w:rPr>
          <w:b/>
        </w:rPr>
        <w:t xml:space="preserve"> avoid duplication of services.</w:t>
      </w:r>
    </w:p>
    <w:p w14:paraId="227C9E52" w14:textId="77777777" w:rsidR="005B58C4" w:rsidRDefault="005B58C4">
      <w:pPr>
        <w:pStyle w:val="BodyTextIndent"/>
        <w:ind w:left="0"/>
        <w:rPr>
          <w:rFonts w:ascii="Arial" w:hAnsi="Arial" w:cs="Arial"/>
        </w:rPr>
      </w:pPr>
    </w:p>
    <w:p w14:paraId="227C9E53" w14:textId="77777777" w:rsidR="00466CBA" w:rsidRDefault="00466CBA">
      <w:pPr>
        <w:pStyle w:val="BodyTextIndent"/>
        <w:ind w:left="0"/>
        <w:rPr>
          <w:rFonts w:ascii="Arial" w:hAnsi="Arial" w:cs="Arial"/>
        </w:rPr>
      </w:pPr>
    </w:p>
    <w:p w14:paraId="227C9E54" w14:textId="77777777" w:rsidR="00466CBA" w:rsidRDefault="00466CBA">
      <w:pPr>
        <w:pStyle w:val="BodyTextIndent"/>
        <w:ind w:left="0"/>
        <w:rPr>
          <w:rFonts w:ascii="Arial" w:hAnsi="Arial" w:cs="Arial"/>
        </w:rPr>
      </w:pPr>
    </w:p>
    <w:p w14:paraId="227C9E55" w14:textId="77777777" w:rsidR="00466CBA" w:rsidRDefault="00466CBA">
      <w:pPr>
        <w:pStyle w:val="BodyTextIndent"/>
        <w:ind w:left="0"/>
        <w:rPr>
          <w:rFonts w:ascii="Arial" w:hAnsi="Arial" w:cs="Arial"/>
        </w:rPr>
      </w:pPr>
    </w:p>
    <w:p w14:paraId="227C9E56" w14:textId="77777777" w:rsidR="00466CBA" w:rsidRDefault="00466CBA">
      <w:pPr>
        <w:pStyle w:val="BodyTextIndent"/>
        <w:ind w:left="0"/>
        <w:rPr>
          <w:rFonts w:ascii="Arial" w:hAnsi="Arial" w:cs="Arial"/>
        </w:rPr>
      </w:pPr>
    </w:p>
    <w:p w14:paraId="227C9E57" w14:textId="77777777" w:rsidR="00466CBA" w:rsidRDefault="00466CBA">
      <w:pPr>
        <w:pStyle w:val="BodyTextIndent"/>
        <w:ind w:left="0"/>
        <w:rPr>
          <w:rFonts w:ascii="Arial" w:hAnsi="Arial" w:cs="Arial"/>
        </w:rPr>
      </w:pPr>
    </w:p>
    <w:p w14:paraId="227C9E58" w14:textId="77777777" w:rsidR="0002646D" w:rsidRDefault="0002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5A" w14:textId="77777777">
        <w:trPr>
          <w:trHeight w:val="89"/>
        </w:trPr>
        <w:tc>
          <w:tcPr>
            <w:tcW w:w="9576" w:type="dxa"/>
            <w:shd w:val="clear" w:color="auto" w:fill="000000"/>
          </w:tcPr>
          <w:p w14:paraId="227C9E59" w14:textId="77777777" w:rsidR="0002646D" w:rsidRDefault="007A22D6">
            <w:pPr>
              <w:outlineLvl w:val="0"/>
              <w:rPr>
                <w:b/>
                <w:color w:val="FFFFFF"/>
                <w:sz w:val="28"/>
                <w:szCs w:val="28"/>
              </w:rPr>
            </w:pPr>
            <w:bookmarkStart w:id="3" w:name="_Toc100554581"/>
            <w:r>
              <w:rPr>
                <w:b/>
                <w:color w:val="FFFFFF"/>
                <w:sz w:val="28"/>
                <w:szCs w:val="28"/>
              </w:rPr>
              <w:t xml:space="preserve">III. </w:t>
            </w:r>
            <w:r w:rsidR="0002646D">
              <w:rPr>
                <w:b/>
                <w:color w:val="FFFFFF"/>
                <w:sz w:val="28"/>
                <w:szCs w:val="28"/>
              </w:rPr>
              <w:t>Target Population</w:t>
            </w:r>
            <w:bookmarkEnd w:id="3"/>
            <w:r>
              <w:rPr>
                <w:b/>
                <w:color w:val="FFFFFF"/>
                <w:sz w:val="28"/>
                <w:szCs w:val="28"/>
              </w:rPr>
              <w:t>s</w:t>
            </w:r>
          </w:p>
        </w:tc>
      </w:tr>
    </w:tbl>
    <w:p w14:paraId="227C9E5B" w14:textId="77777777" w:rsidR="0002646D" w:rsidRDefault="0002646D">
      <w:pPr>
        <w:outlineLvl w:val="0"/>
      </w:pPr>
    </w:p>
    <w:p w14:paraId="227C9E5C" w14:textId="77777777" w:rsidR="007855E5" w:rsidRDefault="007855E5" w:rsidP="007855E5">
      <w:r>
        <w:t>The federal Older Americans Act, Sec. 306 (a)(4)</w:t>
      </w:r>
      <w:r w:rsidR="002D068C">
        <w:t>(</w:t>
      </w:r>
      <w:r>
        <w:t xml:space="preserve">A) requires Title III services to be targeted to older individuals further defined as an individual who is 60 years of age or older, and requires an assurance that providers will identify individuals eligible for assistance under this Act, </w:t>
      </w:r>
      <w:r w:rsidRPr="00C93704">
        <w:rPr>
          <w:i/>
        </w:rPr>
        <w:t xml:space="preserve">with special emphasis on: </w:t>
      </w:r>
      <w:r>
        <w:t xml:space="preserve">  </w:t>
      </w:r>
    </w:p>
    <w:p w14:paraId="227C9E5D" w14:textId="77777777" w:rsidR="007855E5" w:rsidRDefault="007855E5" w:rsidP="007855E5"/>
    <w:p w14:paraId="227C9E5E" w14:textId="77777777" w:rsidR="007855E5" w:rsidRDefault="007855E5" w:rsidP="007855E5">
      <w:pPr>
        <w:numPr>
          <w:ilvl w:val="0"/>
          <w:numId w:val="34"/>
        </w:numPr>
        <w:spacing w:after="60"/>
        <w:ind w:hanging="720"/>
      </w:pPr>
      <w:r w:rsidRPr="00635139">
        <w:t xml:space="preserve">older individuals residing in rural </w:t>
      </w:r>
      <w:proofErr w:type="gramStart"/>
      <w:r w:rsidRPr="00635139">
        <w:t>areas;</w:t>
      </w:r>
      <w:proofErr w:type="gramEnd"/>
    </w:p>
    <w:p w14:paraId="227C9E5F" w14:textId="77777777" w:rsidR="007855E5" w:rsidRDefault="007855E5" w:rsidP="007855E5">
      <w:pPr>
        <w:numPr>
          <w:ilvl w:val="0"/>
          <w:numId w:val="34"/>
        </w:numPr>
        <w:spacing w:after="60"/>
        <w:ind w:left="720"/>
      </w:pPr>
      <w:r w:rsidRPr="00635139">
        <w:t>older individuals with greatest economic need (with particular attention to low-income minority individuals and older individuals residing in rural areas</w:t>
      </w:r>
      <w:proofErr w:type="gramStart"/>
      <w:r w:rsidRPr="00635139">
        <w:t>);</w:t>
      </w:r>
      <w:proofErr w:type="gramEnd"/>
    </w:p>
    <w:p w14:paraId="227C9E60" w14:textId="77777777" w:rsidR="007855E5" w:rsidRDefault="007855E5" w:rsidP="007855E5">
      <w:pPr>
        <w:numPr>
          <w:ilvl w:val="0"/>
          <w:numId w:val="34"/>
        </w:numPr>
        <w:spacing w:after="60"/>
        <w:ind w:left="720"/>
      </w:pPr>
      <w:r w:rsidRPr="00635139">
        <w:t>older individuals with greatest social need (with particular attention to low-income minority individuals and older individuals residing in rural areas</w:t>
      </w:r>
      <w:proofErr w:type="gramStart"/>
      <w:r w:rsidRPr="00635139">
        <w:t>);</w:t>
      </w:r>
      <w:proofErr w:type="gramEnd"/>
    </w:p>
    <w:p w14:paraId="227C9E61" w14:textId="77777777" w:rsidR="007855E5" w:rsidRDefault="007855E5" w:rsidP="007855E5">
      <w:pPr>
        <w:numPr>
          <w:ilvl w:val="0"/>
          <w:numId w:val="34"/>
        </w:numPr>
        <w:spacing w:after="60"/>
        <w:ind w:left="720"/>
      </w:pPr>
      <w:r w:rsidRPr="00635139">
        <w:t xml:space="preserve">older individuals with severe </w:t>
      </w:r>
      <w:proofErr w:type="gramStart"/>
      <w:r w:rsidRPr="00635139">
        <w:t>disabilities;</w:t>
      </w:r>
      <w:proofErr w:type="gramEnd"/>
    </w:p>
    <w:p w14:paraId="227C9E62" w14:textId="77777777" w:rsidR="007855E5" w:rsidRDefault="007855E5" w:rsidP="007855E5">
      <w:pPr>
        <w:numPr>
          <w:ilvl w:val="0"/>
          <w:numId w:val="34"/>
        </w:numPr>
        <w:spacing w:after="60"/>
        <w:ind w:left="720"/>
      </w:pPr>
      <w:r w:rsidRPr="00635139">
        <w:t xml:space="preserve">older individuals </w:t>
      </w:r>
      <w:r w:rsidR="00D1749A" w:rsidRPr="00635139">
        <w:rPr>
          <w:noProof/>
        </w:rPr>
        <w:drawing>
          <wp:inline distT="0" distB="0" distL="0" distR="0" wp14:anchorId="227C9F23" wp14:editId="227C9F24">
            <wp:extent cx="9525" cy="9525"/>
            <wp:effectExtent l="0" t="0" r="0" b="0"/>
            <wp:docPr id="1" name="Picture 4" descr="Description: spac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pac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5139">
        <w:rPr>
          <w:bCs/>
        </w:rPr>
        <w:t>with limited English proficiency;</w:t>
      </w:r>
      <w:r w:rsidR="00D1749A" w:rsidRPr="00635139">
        <w:rPr>
          <w:noProof/>
        </w:rPr>
        <w:drawing>
          <wp:inline distT="0" distB="0" distL="0" distR="0" wp14:anchorId="227C9F25" wp14:editId="227C9F26">
            <wp:extent cx="9525" cy="9525"/>
            <wp:effectExtent l="0" t="0" r="0" b="0"/>
            <wp:docPr id="2" name="Picture 3" descr="Description: spac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pac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5139">
        <w:t xml:space="preserve"> </w:t>
      </w:r>
    </w:p>
    <w:p w14:paraId="227C9E63" w14:textId="77777777" w:rsidR="007855E5" w:rsidRDefault="007855E5" w:rsidP="007855E5">
      <w:pPr>
        <w:numPr>
          <w:ilvl w:val="0"/>
          <w:numId w:val="34"/>
        </w:numPr>
        <w:spacing w:after="60"/>
        <w:ind w:left="720"/>
      </w:pPr>
      <w:r w:rsidRPr="00635139">
        <w:t xml:space="preserve">older individuals with Alzheimer’s disease </w:t>
      </w:r>
      <w:r w:rsidR="00D1749A" w:rsidRPr="00635139">
        <w:rPr>
          <w:noProof/>
        </w:rPr>
        <w:drawing>
          <wp:inline distT="0" distB="0" distL="0" distR="0" wp14:anchorId="227C9F27" wp14:editId="227C9F28">
            <wp:extent cx="9525" cy="9525"/>
            <wp:effectExtent l="0" t="0" r="0" b="0"/>
            <wp:docPr id="3" name="Picture 2" descr="Description: spac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pac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5139">
        <w:rPr>
          <w:bCs/>
        </w:rPr>
        <w:t>and related</w:t>
      </w:r>
      <w:r w:rsidR="00D1749A" w:rsidRPr="00635139">
        <w:rPr>
          <w:noProof/>
        </w:rPr>
        <w:drawing>
          <wp:inline distT="0" distB="0" distL="0" distR="0" wp14:anchorId="227C9F29" wp14:editId="227C9F2A">
            <wp:extent cx="9525" cy="9525"/>
            <wp:effectExtent l="0" t="0" r="0" b="0"/>
            <wp:docPr id="4" name="Picture 1" descr="Description: spac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pac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5139">
        <w:t xml:space="preserve"> disorders with neurological and organic brain dysfunction (and the caretakers of such individuals); and</w:t>
      </w:r>
    </w:p>
    <w:p w14:paraId="227C9E64" w14:textId="77777777" w:rsidR="00D83320" w:rsidRPr="00D83320" w:rsidRDefault="007855E5" w:rsidP="00D83320">
      <w:pPr>
        <w:numPr>
          <w:ilvl w:val="0"/>
          <w:numId w:val="34"/>
        </w:numPr>
        <w:spacing w:after="60"/>
        <w:ind w:left="720"/>
      </w:pPr>
      <w:r w:rsidRPr="00635139">
        <w:rPr>
          <w:bCs/>
        </w:rPr>
        <w:t>older individuals at risk for institutional placement (</w:t>
      </w:r>
      <w:r>
        <w:rPr>
          <w:bCs/>
        </w:rPr>
        <w:t>“at risk for institutional placement” means having a limitation in two or more Activities of Daily Living).</w:t>
      </w:r>
      <w:r w:rsidRPr="00940F6D">
        <w:t xml:space="preserve"> </w:t>
      </w:r>
      <w:r w:rsidRPr="003952FF">
        <w:t xml:space="preserve"> </w:t>
      </w:r>
    </w:p>
    <w:p w14:paraId="227C9E65" w14:textId="77777777" w:rsidR="00CC337C" w:rsidRDefault="00CC337C"/>
    <w:p w14:paraId="227C9E66" w14:textId="77777777" w:rsidR="0002646D" w:rsidRDefault="0002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68" w14:textId="77777777">
        <w:trPr>
          <w:trHeight w:val="89"/>
        </w:trPr>
        <w:tc>
          <w:tcPr>
            <w:tcW w:w="9576" w:type="dxa"/>
            <w:shd w:val="clear" w:color="auto" w:fill="000000"/>
          </w:tcPr>
          <w:p w14:paraId="227C9E67" w14:textId="77777777" w:rsidR="0002646D" w:rsidRDefault="00D83320">
            <w:pPr>
              <w:outlineLvl w:val="0"/>
              <w:rPr>
                <w:b/>
                <w:color w:val="FFFFFF"/>
                <w:sz w:val="28"/>
                <w:szCs w:val="28"/>
              </w:rPr>
            </w:pPr>
            <w:r>
              <w:rPr>
                <w:b/>
                <w:color w:val="FFFFFF"/>
                <w:sz w:val="28"/>
                <w:szCs w:val="28"/>
              </w:rPr>
              <w:t>I</w:t>
            </w:r>
            <w:r w:rsidR="00D664C4">
              <w:rPr>
                <w:b/>
                <w:color w:val="FFFFFF"/>
                <w:sz w:val="28"/>
                <w:szCs w:val="28"/>
              </w:rPr>
              <w:t>V</w:t>
            </w:r>
            <w:r w:rsidR="0002646D">
              <w:rPr>
                <w:b/>
                <w:color w:val="FFFFFF"/>
                <w:sz w:val="28"/>
                <w:szCs w:val="28"/>
              </w:rPr>
              <w:t xml:space="preserve">. </w:t>
            </w:r>
            <w:r w:rsidR="008E06A5">
              <w:rPr>
                <w:b/>
                <w:color w:val="FFFFFF"/>
                <w:sz w:val="28"/>
                <w:szCs w:val="28"/>
              </w:rPr>
              <w:t>Cost Sharing</w:t>
            </w:r>
            <w:r w:rsidR="00AB1DE0">
              <w:rPr>
                <w:b/>
                <w:color w:val="FFFFFF"/>
                <w:sz w:val="28"/>
                <w:szCs w:val="28"/>
              </w:rPr>
              <w:t>,</w:t>
            </w:r>
            <w:r w:rsidR="00A43BE3">
              <w:rPr>
                <w:b/>
                <w:color w:val="FFFFFF"/>
                <w:sz w:val="28"/>
                <w:szCs w:val="28"/>
              </w:rPr>
              <w:t xml:space="preserve"> Voluntary Contributions</w:t>
            </w:r>
            <w:r w:rsidR="00AB1DE0">
              <w:rPr>
                <w:b/>
                <w:color w:val="FFFFFF"/>
                <w:sz w:val="28"/>
                <w:szCs w:val="28"/>
              </w:rPr>
              <w:t xml:space="preserve"> and Other Payer Sources</w:t>
            </w:r>
          </w:p>
        </w:tc>
      </w:tr>
    </w:tbl>
    <w:p w14:paraId="227C9E69" w14:textId="77777777" w:rsidR="0002646D" w:rsidRDefault="0002646D">
      <w:pPr>
        <w:pStyle w:val="BodyTextIndent"/>
        <w:ind w:left="0"/>
        <w:rPr>
          <w:rFonts w:ascii="Arial" w:hAnsi="Arial" w:cs="Arial"/>
          <w:highlight w:val="yellow"/>
        </w:rPr>
      </w:pPr>
    </w:p>
    <w:p w14:paraId="227C9E6A" w14:textId="77777777" w:rsidR="00A43BE3" w:rsidRPr="00614B70"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r w:rsidRPr="00614B70">
        <w:rPr>
          <w:b/>
        </w:rPr>
        <w:t>COST SHARING</w:t>
      </w:r>
    </w:p>
    <w:p w14:paraId="227C9E6B" w14:textId="77777777" w:rsidR="00A43BE3" w:rsidRDefault="000F1356" w:rsidP="00A43BE3">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0F1356">
        <w:t xml:space="preserve">In March </w:t>
      </w:r>
      <w:r w:rsidR="00A43BE3" w:rsidRPr="000F1356">
        <w:t xml:space="preserve">2011, the Minnesota Board on Aging (MBA) approved </w:t>
      </w:r>
      <w:r w:rsidRPr="000F1356">
        <w:t xml:space="preserve">the updated Title III policy regarding cost sharing and </w:t>
      </w:r>
      <w:r w:rsidR="00A43BE3" w:rsidRPr="000F1356">
        <w:t>voluntar</w:t>
      </w:r>
      <w:r w:rsidRPr="000F1356">
        <w:t>y contributions</w:t>
      </w:r>
      <w:r w:rsidR="00A43BE3" w:rsidRPr="000F1356">
        <w:t>.  Th</w:t>
      </w:r>
      <w:r w:rsidR="00276D26">
        <w:t>is policy extends cost sharing</w:t>
      </w:r>
      <w:r w:rsidR="00A43BE3" w:rsidRPr="000F1356">
        <w:t xml:space="preserve"> to include all allowable Title III funded services.  In accordance with Section 315 (a) of the Older Americans Act, Area Agencies on Aging (AAA) shall assure the maintenance and self-sufficiency of s</w:t>
      </w:r>
      <w:r w:rsidR="00C9187B">
        <w:t xml:space="preserve">ervices by using cost sharing. </w:t>
      </w:r>
      <w:r w:rsidR="00A43BE3">
        <w:t xml:space="preserve">  </w:t>
      </w:r>
    </w:p>
    <w:p w14:paraId="227C9E6C" w14:textId="77777777" w:rsidR="007C691E" w:rsidRDefault="007C691E" w:rsidP="4F177014">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16"/>
          <w:szCs w:val="16"/>
        </w:rPr>
      </w:pPr>
    </w:p>
    <w:p w14:paraId="227C9E6D" w14:textId="77777777" w:rsidR="00A43BE3" w:rsidRDefault="007C691E" w:rsidP="006159A0">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Cost sharing for the following Title III-B services is require</w:t>
      </w:r>
      <w:r w:rsidRPr="00E32CD9">
        <w:t>d</w:t>
      </w:r>
      <w:proofErr w:type="gramStart"/>
      <w:r w:rsidRPr="00E32CD9">
        <w:t>:  assisted</w:t>
      </w:r>
      <w:proofErr w:type="gramEnd"/>
      <w:r w:rsidRPr="00E32CD9">
        <w:t xml:space="preserve"> transportation, chor</w:t>
      </w:r>
      <w:r w:rsidR="00E32CD9" w:rsidRPr="00E32CD9">
        <w:t>e, consultation, homemaker, home modification, personal care,</w:t>
      </w:r>
      <w:r w:rsidRPr="00E32CD9">
        <w:t xml:space="preserve"> self-directed </w:t>
      </w:r>
      <w:r w:rsidR="00E32CD9" w:rsidRPr="00E32CD9">
        <w:t xml:space="preserve">supportive </w:t>
      </w:r>
      <w:r w:rsidRPr="00E32CD9">
        <w:t>services</w:t>
      </w:r>
      <w:r w:rsidR="00E32CD9" w:rsidRPr="00E32CD9">
        <w:t>, and technology</w:t>
      </w:r>
      <w:r w:rsidRPr="00E32CD9">
        <w:t>.</w:t>
      </w:r>
    </w:p>
    <w:p w14:paraId="227C9E6E" w14:textId="77777777" w:rsidR="00844045" w:rsidRDefault="00844045" w:rsidP="4F177014">
      <w:pPr>
        <w:widowControl w:val="0"/>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76" w:lineRule="auto"/>
        <w:ind w:left="720" w:hanging="720"/>
        <w:contextualSpacing/>
        <w:rPr>
          <w:sz w:val="16"/>
          <w:szCs w:val="16"/>
        </w:rPr>
      </w:pPr>
    </w:p>
    <w:p w14:paraId="227C9E6F" w14:textId="77777777" w:rsidR="00844045" w:rsidRPr="00614B70" w:rsidRDefault="006159A0" w:rsidP="006159A0">
      <w:pPr>
        <w:widowControl w:val="0"/>
        <w:tabs>
          <w:tab w:val="left" w:pos="-1159"/>
          <w:tab w:val="left" w:pos="-720"/>
          <w:tab w:val="left" w:pos="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76" w:lineRule="auto"/>
        <w:contextualSpacing/>
      </w:pPr>
      <w:r>
        <w:t>Cost share</w:t>
      </w:r>
      <w:r w:rsidR="00844045">
        <w:t xml:space="preserve"> should be applied to all individuals </w:t>
      </w:r>
      <w:r>
        <w:t xml:space="preserve">receiving any service eligible for cost share, </w:t>
      </w:r>
      <w:r w:rsidR="00844045">
        <w:t>except individuals:</w:t>
      </w:r>
    </w:p>
    <w:p w14:paraId="227C9E70" w14:textId="77777777" w:rsidR="00A43BE3" w:rsidRPr="00614B70" w:rsidRDefault="00844045" w:rsidP="00F7146D">
      <w:pPr>
        <w:widowControl w:val="0"/>
        <w:numPr>
          <w:ilvl w:val="0"/>
          <w:numId w:val="35"/>
        </w:num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contextualSpacing/>
      </w:pPr>
      <w:r>
        <w:t>With incomes</w:t>
      </w:r>
      <w:r w:rsidR="00A43BE3" w:rsidRPr="00614B70">
        <w:t xml:space="preserve"> at or below </w:t>
      </w:r>
      <w:r>
        <w:t xml:space="preserve">100 percent of </w:t>
      </w:r>
      <w:r w:rsidR="00A43BE3" w:rsidRPr="00614B70">
        <w:t>the federal poverty level.</w:t>
      </w:r>
    </w:p>
    <w:p w14:paraId="227C9E71" w14:textId="77777777" w:rsidR="00A43BE3" w:rsidRPr="00614B70" w:rsidRDefault="00844045" w:rsidP="00F7146D">
      <w:pPr>
        <w:widowControl w:val="0"/>
        <w:numPr>
          <w:ilvl w:val="0"/>
          <w:numId w:val="35"/>
        </w:numPr>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40" w:after="200"/>
        <w:contextualSpacing/>
      </w:pPr>
      <w:r>
        <w:t>R</w:t>
      </w:r>
      <w:r w:rsidR="00A43BE3" w:rsidRPr="00614B70">
        <w:t xml:space="preserve">eceiving services through a Medicaid Waiver </w:t>
      </w:r>
      <w:r w:rsidR="00625B58" w:rsidRPr="00614B70">
        <w:t>Program (C</w:t>
      </w:r>
      <w:r w:rsidR="00625B58">
        <w:t xml:space="preserve">ommunity Alternative for Disabled </w:t>
      </w:r>
      <w:r w:rsidR="00625B58" w:rsidRPr="00614B70">
        <w:t>I</w:t>
      </w:r>
      <w:r w:rsidR="00625B58">
        <w:t>ndividuals (CADI)</w:t>
      </w:r>
      <w:r w:rsidR="00625B58" w:rsidRPr="00614B70">
        <w:t xml:space="preserve">, </w:t>
      </w:r>
      <w:r w:rsidR="00625B58">
        <w:t>Community Alternative Care (</w:t>
      </w:r>
      <w:r w:rsidR="00625B58" w:rsidRPr="00614B70">
        <w:t>CAC</w:t>
      </w:r>
      <w:r w:rsidR="00625B58">
        <w:t>)</w:t>
      </w:r>
      <w:r w:rsidR="00625B58" w:rsidRPr="00614B70">
        <w:t>,</w:t>
      </w:r>
      <w:r w:rsidR="00625B58">
        <w:t xml:space="preserve"> Developmental Disabilities</w:t>
      </w:r>
      <w:r w:rsidR="00625B58" w:rsidRPr="00614B70">
        <w:t xml:space="preserve"> </w:t>
      </w:r>
      <w:r w:rsidR="00625B58">
        <w:t>(</w:t>
      </w:r>
      <w:r w:rsidR="00625B58" w:rsidRPr="00614B70">
        <w:t>DD</w:t>
      </w:r>
      <w:r w:rsidR="00625B58">
        <w:t>)</w:t>
      </w:r>
      <w:r w:rsidR="00625B58" w:rsidRPr="00614B70">
        <w:t xml:space="preserve">, </w:t>
      </w:r>
      <w:r w:rsidR="00625B58">
        <w:t>Elderly Waiver (</w:t>
      </w:r>
      <w:r w:rsidR="00625B58" w:rsidRPr="00614B70">
        <w:t>EW</w:t>
      </w:r>
      <w:r w:rsidR="00625B58">
        <w:t>)</w:t>
      </w:r>
      <w:r w:rsidR="00625B58" w:rsidRPr="00614B70">
        <w:t xml:space="preserve">, </w:t>
      </w:r>
      <w:r w:rsidR="00625B58">
        <w:t>Traumatic Brain Injury (</w:t>
      </w:r>
      <w:r w:rsidR="00625B58" w:rsidRPr="00614B70">
        <w:t>TBI) or the Alternative Care Program</w:t>
      </w:r>
      <w:r w:rsidR="00625B58">
        <w:t xml:space="preserve"> (AC))</w:t>
      </w:r>
      <w:r w:rsidR="00625B58" w:rsidRPr="00614B70">
        <w:t>.</w:t>
      </w:r>
    </w:p>
    <w:p w14:paraId="227C9E72" w14:textId="77777777" w:rsidR="00A43BE3" w:rsidRPr="00614B70" w:rsidRDefault="001C5BA8" w:rsidP="00F7146D">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 xml:space="preserve">For </w:t>
      </w:r>
      <w:r w:rsidR="00A43BE3" w:rsidRPr="00614B70">
        <w:t>services for which cost sharing is required:</w:t>
      </w:r>
    </w:p>
    <w:p w14:paraId="227C9E73" w14:textId="3002215F" w:rsidR="009B1F63" w:rsidRDefault="00A43BE3" w:rsidP="00F7146D">
      <w:pPr>
        <w:numPr>
          <w:ilvl w:val="0"/>
          <w:numId w:val="31"/>
        </w:numPr>
        <w:tabs>
          <w:tab w:val="clear" w:pos="720"/>
          <w:tab w:val="left" w:pos="-1080"/>
          <w:tab w:val="left" w:pos="-720"/>
          <w:tab w:val="left" w:pos="0"/>
          <w:tab w:val="num" w:pos="37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74" w:hanging="374"/>
      </w:pPr>
      <w:r w:rsidRPr="00614B70">
        <w:t xml:space="preserve">The </w:t>
      </w:r>
      <w:r w:rsidRPr="00E03B4A">
        <w:rPr>
          <w:i/>
        </w:rPr>
        <w:t>recommended</w:t>
      </w:r>
      <w:r w:rsidRPr="00614B70">
        <w:t xml:space="preserve"> level of </w:t>
      </w:r>
      <w:r w:rsidR="00685C1C">
        <w:t>cost sharing</w:t>
      </w:r>
      <w:r w:rsidRPr="00614B70">
        <w:t xml:space="preserve"> is 50%. For those individuals unable to cost-share at the 50% level, a sliding fee scale—based solely on gross income levels and cost of</w:t>
      </w:r>
      <w:r w:rsidR="009B1F63">
        <w:t xml:space="preserve"> delivering services </w:t>
      </w:r>
      <w:r w:rsidRPr="00614B70">
        <w:t xml:space="preserve">shall be used to determine the level of </w:t>
      </w:r>
      <w:r w:rsidR="00685C1C">
        <w:t>cost sharing</w:t>
      </w:r>
      <w:r w:rsidRPr="00614B70">
        <w:t xml:space="preserve">. Each grantee must identify their unit of service cost as the basis for the sliding fee schedule. </w:t>
      </w:r>
    </w:p>
    <w:p w14:paraId="227C9E74" w14:textId="77777777" w:rsidR="009B1F63" w:rsidRDefault="009B1F63" w:rsidP="00F7146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127"/>
        <w:gridCol w:w="1973"/>
        <w:gridCol w:w="1973"/>
        <w:gridCol w:w="1973"/>
      </w:tblGrid>
      <w:tr w:rsidR="006B75DD" w14:paraId="227C9E7C" w14:textId="77777777" w:rsidTr="006B75DD">
        <w:tc>
          <w:tcPr>
            <w:tcW w:w="1818" w:type="dxa"/>
            <w:tcBorders>
              <w:top w:val="single" w:sz="4" w:space="0" w:color="auto"/>
              <w:left w:val="single" w:sz="4" w:space="0" w:color="auto"/>
              <w:bottom w:val="single" w:sz="4" w:space="0" w:color="auto"/>
              <w:right w:val="single" w:sz="4" w:space="0" w:color="auto"/>
            </w:tcBorders>
            <w:shd w:val="clear" w:color="auto" w:fill="auto"/>
          </w:tcPr>
          <w:p w14:paraId="227C9E75"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Fee as a % of Cost of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7C9E76" w14:textId="78030F54"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202</w:t>
            </w:r>
            <w:r w:rsidR="005D72A2">
              <w:t>5</w:t>
            </w:r>
            <w:r>
              <w:t>*</w:t>
            </w:r>
          </w:p>
          <w:p w14:paraId="227C9E77"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Federal Poverty Guidelines</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78"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Monthly Income for person aged 60+ living</w:t>
            </w:r>
            <w:r w:rsidRPr="006B75DD">
              <w:t xml:space="preserve"> </w:t>
            </w:r>
            <w:r>
              <w:t>alone</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79"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Monthly Income for person aged 60+ living with spouse</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7A" w14:textId="77777777" w:rsidR="006B75DD" w:rsidRP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Cost Share amount (based on </w:t>
            </w:r>
            <w:r w:rsidRPr="006B75DD">
              <w:t>SAMPLE</w:t>
            </w:r>
          </w:p>
          <w:p w14:paraId="227C9E7B"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fee of $100 per unit of service)</w:t>
            </w:r>
          </w:p>
        </w:tc>
      </w:tr>
      <w:tr w:rsidR="006B75DD" w14:paraId="227C9E82" w14:textId="77777777" w:rsidTr="006B75DD">
        <w:tc>
          <w:tcPr>
            <w:tcW w:w="1818" w:type="dxa"/>
            <w:tcBorders>
              <w:top w:val="single" w:sz="4" w:space="0" w:color="auto"/>
              <w:left w:val="single" w:sz="4" w:space="0" w:color="auto"/>
              <w:bottom w:val="single" w:sz="4" w:space="0" w:color="auto"/>
              <w:right w:val="single" w:sz="4" w:space="0" w:color="auto"/>
            </w:tcBorders>
            <w:shd w:val="clear" w:color="auto" w:fill="auto"/>
          </w:tcPr>
          <w:p w14:paraId="227C9E7D"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7C9E7E"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Up to 100% of Poverty</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7F" w14:textId="6DD26603"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Under </w:t>
            </w:r>
            <w:r w:rsidR="00FF6F8B">
              <w:t>$1,304</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0"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Under $1,526</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1" w14:textId="77777777" w:rsidR="006B75DD" w:rsidRDefault="006B75DD" w:rsidP="006B75D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Voluntary Contribution</w:t>
            </w:r>
          </w:p>
        </w:tc>
      </w:tr>
      <w:tr w:rsidR="00B37C25" w14:paraId="227C9E88" w14:textId="77777777" w:rsidTr="006B75DD">
        <w:tc>
          <w:tcPr>
            <w:tcW w:w="1818" w:type="dxa"/>
            <w:tcBorders>
              <w:top w:val="single" w:sz="4" w:space="0" w:color="auto"/>
              <w:left w:val="single" w:sz="4" w:space="0" w:color="auto"/>
              <w:bottom w:val="single" w:sz="4" w:space="0" w:color="auto"/>
              <w:right w:val="single" w:sz="4" w:space="0" w:color="auto"/>
            </w:tcBorders>
            <w:shd w:val="clear" w:color="auto" w:fill="auto"/>
          </w:tcPr>
          <w:p w14:paraId="227C9E83"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7C9E84"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101% to 150%</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5" w14:textId="3CD496A0"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$1,305 - $1,956</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6" w14:textId="6E39A872"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$1,763 - $2,644</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7"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$10</w:t>
            </w:r>
          </w:p>
        </w:tc>
      </w:tr>
      <w:tr w:rsidR="00B37C25" w14:paraId="227C9E8E" w14:textId="77777777" w:rsidTr="006B75DD">
        <w:tc>
          <w:tcPr>
            <w:tcW w:w="1818" w:type="dxa"/>
            <w:tcBorders>
              <w:top w:val="single" w:sz="4" w:space="0" w:color="auto"/>
              <w:left w:val="single" w:sz="4" w:space="0" w:color="auto"/>
              <w:bottom w:val="single" w:sz="4" w:space="0" w:color="auto"/>
              <w:right w:val="single" w:sz="4" w:space="0" w:color="auto"/>
            </w:tcBorders>
            <w:shd w:val="clear" w:color="auto" w:fill="auto"/>
          </w:tcPr>
          <w:p w14:paraId="227C9E89"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25%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7C9E8A"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151% to 200%</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B" w14:textId="0C2ADDD3"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$1,957 - $2,608</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C" w14:textId="5F85D344"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$2,645 - $3,525</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8D"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$25</w:t>
            </w:r>
          </w:p>
        </w:tc>
      </w:tr>
      <w:tr w:rsidR="00B37C25" w14:paraId="227C9E94" w14:textId="77777777" w:rsidTr="006B75DD">
        <w:tc>
          <w:tcPr>
            <w:tcW w:w="1818" w:type="dxa"/>
            <w:tcBorders>
              <w:top w:val="single" w:sz="4" w:space="0" w:color="auto"/>
              <w:left w:val="single" w:sz="4" w:space="0" w:color="auto"/>
              <w:bottom w:val="single" w:sz="4" w:space="0" w:color="auto"/>
              <w:right w:val="single" w:sz="4" w:space="0" w:color="auto"/>
            </w:tcBorders>
            <w:shd w:val="clear" w:color="auto" w:fill="auto"/>
          </w:tcPr>
          <w:p w14:paraId="227C9E8F"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50%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7C9E90"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201% to 250%</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91" w14:textId="22C96271"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$2,607 - $3,260</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92" w14:textId="1A2EB824"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$3,526 - $4,405</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93"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$50</w:t>
            </w:r>
          </w:p>
        </w:tc>
      </w:tr>
      <w:tr w:rsidR="00B37C25" w14:paraId="227C9E9A" w14:textId="77777777" w:rsidTr="006B75DD">
        <w:tc>
          <w:tcPr>
            <w:tcW w:w="1818" w:type="dxa"/>
            <w:tcBorders>
              <w:top w:val="single" w:sz="4" w:space="0" w:color="auto"/>
              <w:left w:val="single" w:sz="4" w:space="0" w:color="auto"/>
              <w:bottom w:val="single" w:sz="4" w:space="0" w:color="auto"/>
              <w:right w:val="single" w:sz="4" w:space="0" w:color="auto"/>
            </w:tcBorders>
            <w:shd w:val="clear" w:color="auto" w:fill="auto"/>
          </w:tcPr>
          <w:p w14:paraId="227C9E95"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7C9E96"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251 and above%</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97" w14:textId="76F2D281"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$3,260+</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98" w14:textId="77E1C5B1"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$4,406+</w:t>
            </w:r>
          </w:p>
        </w:tc>
        <w:tc>
          <w:tcPr>
            <w:tcW w:w="1973" w:type="dxa"/>
            <w:tcBorders>
              <w:top w:val="single" w:sz="4" w:space="0" w:color="auto"/>
              <w:left w:val="single" w:sz="4" w:space="0" w:color="auto"/>
              <w:bottom w:val="single" w:sz="4" w:space="0" w:color="auto"/>
              <w:right w:val="single" w:sz="4" w:space="0" w:color="auto"/>
            </w:tcBorders>
            <w:shd w:val="clear" w:color="auto" w:fill="auto"/>
          </w:tcPr>
          <w:p w14:paraId="227C9E99" w14:textId="77777777" w:rsidR="00B37C25" w:rsidRDefault="00B37C25" w:rsidP="00B37C25">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$100</w:t>
            </w:r>
          </w:p>
        </w:tc>
      </w:tr>
    </w:tbl>
    <w:p w14:paraId="227C9E9B" w14:textId="77777777" w:rsidR="00A43BE3" w:rsidRPr="00614B70" w:rsidRDefault="009B1F63" w:rsidP="00F7146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 </w:t>
      </w:r>
    </w:p>
    <w:p w14:paraId="227C9E9C" w14:textId="77777777" w:rsidR="00A43BE3" w:rsidRPr="00614B70" w:rsidRDefault="00A43BE3" w:rsidP="00F7146D">
      <w:pPr>
        <w:widowControl w:val="0"/>
        <w:numPr>
          <w:ilvl w:val="0"/>
          <w:numId w:val="29"/>
        </w:numPr>
        <w:autoSpaceDE w:val="0"/>
        <w:autoSpaceDN w:val="0"/>
        <w:adjustRightInd w:val="0"/>
        <w:spacing w:after="200"/>
        <w:contextualSpacing/>
      </w:pPr>
      <w:r w:rsidRPr="00614B70">
        <w:t>Variations to the slidin</w:t>
      </w:r>
      <w:r w:rsidR="0022693D">
        <w:t xml:space="preserve">g fee scale </w:t>
      </w:r>
      <w:r w:rsidRPr="00614B70">
        <w:t>that comply with the intent of the policy and encourage financial contributions by users are allowed. Scales that vary from the AAA</w:t>
      </w:r>
      <w:r w:rsidR="007E5678">
        <w:t>A</w:t>
      </w:r>
      <w:r w:rsidRPr="00614B70">
        <w:t>-provided scale must be approved by the AAA</w:t>
      </w:r>
      <w:r w:rsidR="007E5678">
        <w:t>A</w:t>
      </w:r>
      <w:r w:rsidRPr="00614B70">
        <w:t xml:space="preserve"> prior to implementation.</w:t>
      </w:r>
    </w:p>
    <w:p w14:paraId="227C9E9D" w14:textId="73F75D9E" w:rsidR="00F70F88" w:rsidRPr="00E62398" w:rsidRDefault="00A43BE3" w:rsidP="00F7146D">
      <w:pPr>
        <w:widowControl w:val="0"/>
        <w:numPr>
          <w:ilvl w:val="0"/>
          <w:numId w:val="29"/>
        </w:numPr>
        <w:autoSpaceDE w:val="0"/>
        <w:autoSpaceDN w:val="0"/>
        <w:adjustRightInd w:val="0"/>
        <w:spacing w:after="200"/>
        <w:contextualSpacing/>
      </w:pPr>
      <w:r>
        <w:t>The grantee</w:t>
      </w:r>
      <w:r w:rsidRPr="00E62398">
        <w:t xml:space="preserve"> shall publish the sliding fee scale as part of its materials giv</w:t>
      </w:r>
      <w:r>
        <w:t>en to prospective clients. The grantee</w:t>
      </w:r>
      <w:r w:rsidRPr="00E62398">
        <w:t xml:space="preserve"> shall inform participants of their rights and responsibilities to contribute towards the cost of the service during the client intake p</w:t>
      </w:r>
      <w:r>
        <w:t xml:space="preserve">rocess.  </w:t>
      </w:r>
      <w:r w:rsidRPr="005A6955">
        <w:rPr>
          <w:b/>
        </w:rPr>
        <w:t xml:space="preserve">The </w:t>
      </w:r>
      <w:proofErr w:type="gramStart"/>
      <w:r w:rsidRPr="005A6955">
        <w:rPr>
          <w:b/>
        </w:rPr>
        <w:t>grantee shall</w:t>
      </w:r>
      <w:proofErr w:type="gramEnd"/>
      <w:r w:rsidRPr="005A6955">
        <w:rPr>
          <w:b/>
        </w:rPr>
        <w:t xml:space="preserve"> submit a copy of the sliding fee scale and related client education and notification materials</w:t>
      </w:r>
      <w:r w:rsidRPr="00E62398">
        <w:t xml:space="preserve"> to the AAA</w:t>
      </w:r>
      <w:r w:rsidR="007E5678">
        <w:t>A</w:t>
      </w:r>
      <w:r w:rsidRPr="00E62398">
        <w:t xml:space="preserve"> within the first month of the </w:t>
      </w:r>
      <w:r>
        <w:t>grant</w:t>
      </w:r>
      <w:r w:rsidRPr="00E62398">
        <w:t xml:space="preserve"> for review, comment and approval.  </w:t>
      </w:r>
    </w:p>
    <w:p w14:paraId="227C9E9E" w14:textId="6A3FD967" w:rsidR="00A43BE3" w:rsidRPr="00614B70" w:rsidRDefault="00A43BE3" w:rsidP="00F7146D">
      <w:pPr>
        <w:widowControl w:val="0"/>
        <w:numPr>
          <w:ilvl w:val="0"/>
          <w:numId w:val="29"/>
        </w:numPr>
        <w:autoSpaceDE w:val="0"/>
        <w:autoSpaceDN w:val="0"/>
        <w:adjustRightInd w:val="0"/>
        <w:spacing w:after="200"/>
        <w:contextualSpacing/>
      </w:pPr>
      <w:r>
        <w:t>The grantee</w:t>
      </w:r>
      <w:r w:rsidRPr="00614B70">
        <w:t xml:space="preserve"> must protect the privacy and confidentiality of </w:t>
      </w:r>
      <w:proofErr w:type="gramStart"/>
      <w:r w:rsidRPr="00614B70">
        <w:t>each individual</w:t>
      </w:r>
      <w:proofErr w:type="gramEnd"/>
      <w:r w:rsidRPr="00614B70">
        <w:t xml:space="preserve"> with respect to the declaration or non-declaration of individual income and to any share of costs paid or unpa</w:t>
      </w:r>
      <w:r w:rsidR="00276D26">
        <w:t>id by an individual</w:t>
      </w:r>
      <w:r w:rsidRPr="00614B70">
        <w:t>.</w:t>
      </w:r>
    </w:p>
    <w:p w14:paraId="227C9E9F" w14:textId="77777777" w:rsidR="00A43BE3" w:rsidRPr="00614B70" w:rsidRDefault="00A43BE3" w:rsidP="00F7146D">
      <w:pPr>
        <w:widowControl w:val="0"/>
        <w:numPr>
          <w:ilvl w:val="0"/>
          <w:numId w:val="29"/>
        </w:numPr>
        <w:autoSpaceDE w:val="0"/>
        <w:autoSpaceDN w:val="0"/>
        <w:adjustRightInd w:val="0"/>
        <w:spacing w:after="200"/>
        <w:contextualSpacing/>
      </w:pPr>
      <w:r w:rsidRPr="00614B70">
        <w:t xml:space="preserve">Participant income level will be based on self-reported gross income of the older adult service recipient. Personal assets, savings, and/or other property are not to be considered. Income </w:t>
      </w:r>
      <w:r>
        <w:t xml:space="preserve">verification is not allowed.  </w:t>
      </w:r>
      <w:r w:rsidRPr="00614B70">
        <w:t>A means test shall not be utilized to determine eligibility for Title III services.</w:t>
      </w:r>
    </w:p>
    <w:p w14:paraId="227C9EA0" w14:textId="20C85647" w:rsidR="00A43BE3" w:rsidRPr="003C33A2" w:rsidRDefault="00C9148B" w:rsidP="00F7146D">
      <w:pPr>
        <w:widowControl w:val="0"/>
        <w:numPr>
          <w:ilvl w:val="0"/>
          <w:numId w:val="29"/>
        </w:numPr>
        <w:autoSpaceDE w:val="0"/>
        <w:autoSpaceDN w:val="0"/>
        <w:adjustRightInd w:val="0"/>
        <w:spacing w:after="200"/>
        <w:contextualSpacing/>
        <w:rPr>
          <w:b/>
          <w:bCs/>
        </w:rPr>
      </w:pPr>
      <w:r w:rsidRPr="003C33A2">
        <w:rPr>
          <w:b/>
          <w:bCs/>
        </w:rPr>
        <w:t>The grantee</w:t>
      </w:r>
      <w:r w:rsidR="00A43BE3" w:rsidRPr="003C33A2">
        <w:rPr>
          <w:b/>
          <w:bCs/>
        </w:rPr>
        <w:t xml:space="preserve"> </w:t>
      </w:r>
      <w:r w:rsidR="00A43BE3" w:rsidRPr="003C33A2">
        <w:rPr>
          <w:b/>
          <w:bCs/>
          <w:u w:val="single"/>
        </w:rPr>
        <w:t>may not deny service</w:t>
      </w:r>
      <w:r w:rsidR="00A43BE3" w:rsidRPr="003C33A2">
        <w:rPr>
          <w:b/>
          <w:bCs/>
        </w:rPr>
        <w:t xml:space="preserve"> to any individual unable or unwilling to </w:t>
      </w:r>
      <w:proofErr w:type="gramStart"/>
      <w:r w:rsidR="00A43BE3" w:rsidRPr="003C33A2">
        <w:rPr>
          <w:b/>
          <w:bCs/>
        </w:rPr>
        <w:t>make a contribution</w:t>
      </w:r>
      <w:proofErr w:type="gramEnd"/>
      <w:r w:rsidR="00A43BE3" w:rsidRPr="003C33A2">
        <w:rPr>
          <w:b/>
          <w:bCs/>
        </w:rPr>
        <w:t xml:space="preserve"> </w:t>
      </w:r>
      <w:r w:rsidR="00276D26" w:rsidRPr="003C33A2">
        <w:rPr>
          <w:b/>
          <w:bCs/>
        </w:rPr>
        <w:t xml:space="preserve">or cost share payment </w:t>
      </w:r>
      <w:r w:rsidR="00A43BE3" w:rsidRPr="003C33A2">
        <w:rPr>
          <w:b/>
          <w:bCs/>
        </w:rPr>
        <w:t xml:space="preserve">for service.  </w:t>
      </w:r>
    </w:p>
    <w:p w14:paraId="227C9EA1" w14:textId="77777777" w:rsidR="00A43BE3" w:rsidRPr="00614B70" w:rsidRDefault="00A43BE3" w:rsidP="00F7146D">
      <w:pPr>
        <w:widowControl w:val="0"/>
        <w:numPr>
          <w:ilvl w:val="0"/>
          <w:numId w:val="29"/>
        </w:numPr>
        <w:autoSpaceDE w:val="0"/>
        <w:autoSpaceDN w:val="0"/>
        <w:adjustRightInd w:val="0"/>
        <w:spacing w:after="200"/>
        <w:contextualSpacing/>
      </w:pPr>
      <w:r w:rsidRPr="00614B70">
        <w:t>The A</w:t>
      </w:r>
      <w:r w:rsidR="007E5678">
        <w:t>A</w:t>
      </w:r>
      <w:r w:rsidRPr="00614B70">
        <w:t xml:space="preserve">AA may waive individuals from </w:t>
      </w:r>
      <w:r w:rsidR="00685C1C">
        <w:t>cost sharing</w:t>
      </w:r>
      <w:r w:rsidRPr="00614B70">
        <w:t xml:space="preserve"> participation for extreme hard</w:t>
      </w:r>
      <w:r w:rsidR="00276D26">
        <w:t>ship on a case-by-case basis via an</w:t>
      </w:r>
      <w:r w:rsidRPr="00614B70">
        <w:t xml:space="preserve"> exemption</w:t>
      </w:r>
      <w:r w:rsidR="00276D26">
        <w:t xml:space="preserve">.  </w:t>
      </w:r>
      <w:r w:rsidRPr="00614B70">
        <w:t xml:space="preserve">Exemption decisions should be documented in client files.    </w:t>
      </w:r>
    </w:p>
    <w:p w14:paraId="227C9EA2" w14:textId="77777777" w:rsidR="00A43BE3" w:rsidRPr="00614B70" w:rsidRDefault="00A43BE3" w:rsidP="00F7146D">
      <w:pPr>
        <w:widowControl w:val="0"/>
        <w:numPr>
          <w:ilvl w:val="0"/>
          <w:numId w:val="29"/>
        </w:numPr>
        <w:autoSpaceDE w:val="0"/>
        <w:autoSpaceDN w:val="0"/>
        <w:adjustRightInd w:val="0"/>
        <w:spacing w:after="200"/>
        <w:contextualSpacing/>
      </w:pPr>
      <w:r w:rsidRPr="00614B70">
        <w:t xml:space="preserve">Co-payment “statements” may be provided to clients but </w:t>
      </w:r>
      <w:r w:rsidRPr="003C33A2">
        <w:rPr>
          <w:b/>
          <w:bCs/>
        </w:rPr>
        <w:t>must not</w:t>
      </w:r>
      <w:r w:rsidRPr="00614B70">
        <w:t xml:space="preserve"> carry forward a balance due amount.</w:t>
      </w:r>
    </w:p>
    <w:p w14:paraId="227C9EA3" w14:textId="5730B238" w:rsidR="00A43BE3" w:rsidRPr="00614B70" w:rsidRDefault="00A43BE3" w:rsidP="00F7146D">
      <w:pPr>
        <w:widowControl w:val="0"/>
        <w:numPr>
          <w:ilvl w:val="0"/>
          <w:numId w:val="29"/>
        </w:numPr>
        <w:autoSpaceDE w:val="0"/>
        <w:autoSpaceDN w:val="0"/>
        <w:adjustRightInd w:val="0"/>
        <w:spacing w:after="200"/>
        <w:contextualSpacing/>
      </w:pPr>
      <w:r w:rsidRPr="00614B70">
        <w:t>T</w:t>
      </w:r>
      <w:r w:rsidR="00F65E51">
        <w:t>he grantee</w:t>
      </w:r>
      <w:r w:rsidRPr="00614B70">
        <w:t xml:space="preserve"> shall have written policies and procedures on how they will implement and administer the </w:t>
      </w:r>
      <w:r w:rsidR="00685C1C">
        <w:t>cost sharing</w:t>
      </w:r>
      <w:r w:rsidRPr="00614B70">
        <w:t xml:space="preserve"> policy. </w:t>
      </w:r>
    </w:p>
    <w:p w14:paraId="227C9EA4" w14:textId="05829899" w:rsidR="00A43BE3" w:rsidRPr="00614B70" w:rsidRDefault="00F65E51" w:rsidP="00F7146D">
      <w:pPr>
        <w:widowControl w:val="0"/>
        <w:numPr>
          <w:ilvl w:val="0"/>
          <w:numId w:val="29"/>
        </w:numPr>
        <w:autoSpaceDE w:val="0"/>
        <w:autoSpaceDN w:val="0"/>
        <w:adjustRightInd w:val="0"/>
        <w:spacing w:after="200"/>
        <w:contextualSpacing/>
      </w:pPr>
      <w:r>
        <w:t>The grantee</w:t>
      </w:r>
      <w:r w:rsidR="00A43BE3" w:rsidRPr="00614B70">
        <w:t xml:space="preserve"> shall establish and maintain separate fund codes established through the general ledger for the funds provided under this Agreement and income generated by the Project. The funds shall not be co-mingled with funds received u</w:t>
      </w:r>
      <w:r>
        <w:t>nder any other agreement. The grantee</w:t>
      </w:r>
      <w:r w:rsidR="00A43BE3" w:rsidRPr="00614B70">
        <w:t xml:space="preserve"> is responsible for regular deposit of program income.</w:t>
      </w:r>
    </w:p>
    <w:p w14:paraId="227C9EA5" w14:textId="77777777" w:rsidR="00A43BE3" w:rsidRPr="007E5678" w:rsidRDefault="00685C1C" w:rsidP="00F7146D">
      <w:pPr>
        <w:widowControl w:val="0"/>
        <w:numPr>
          <w:ilvl w:val="0"/>
          <w:numId w:val="29"/>
        </w:numPr>
        <w:autoSpaceDE w:val="0"/>
        <w:autoSpaceDN w:val="0"/>
        <w:adjustRightInd w:val="0"/>
        <w:spacing w:after="200"/>
        <w:contextualSpacing/>
      </w:pPr>
      <w:r>
        <w:t>Cost sharing</w:t>
      </w:r>
      <w:r w:rsidR="00A43BE3" w:rsidRPr="00614B70">
        <w:t xml:space="preserve"> revenue </w:t>
      </w:r>
      <w:proofErr w:type="gramStart"/>
      <w:r w:rsidR="00A43BE3" w:rsidRPr="00614B70">
        <w:t>shall</w:t>
      </w:r>
      <w:proofErr w:type="gramEnd"/>
      <w:r w:rsidR="00A43BE3" w:rsidRPr="00614B70">
        <w:t xml:space="preserve"> be used to expand the service for which the payment was given.</w:t>
      </w:r>
    </w:p>
    <w:p w14:paraId="227C9EA6" w14:textId="77777777" w:rsidR="00F65E51" w:rsidRDefault="00F65E51" w:rsidP="00A43BE3">
      <w:pPr>
        <w:rPr>
          <w:b/>
        </w:rPr>
      </w:pPr>
    </w:p>
    <w:p w14:paraId="227C9EA7" w14:textId="77777777" w:rsidR="00CF315E" w:rsidRDefault="00CF315E" w:rsidP="00A43BE3">
      <w:pPr>
        <w:rPr>
          <w:b/>
        </w:rPr>
      </w:pPr>
    </w:p>
    <w:p w14:paraId="227C9EA8" w14:textId="77777777" w:rsidR="00A43BE3" w:rsidRPr="00614B70"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r w:rsidRPr="005A6955">
        <w:rPr>
          <w:b/>
        </w:rPr>
        <w:t>VOLUNTARY CONTRIBUTIONS</w:t>
      </w:r>
    </w:p>
    <w:p w14:paraId="227C9EA9" w14:textId="77777777" w:rsidR="00A43BE3" w:rsidRPr="00614B70"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27C9EAA" w14:textId="77777777" w:rsidR="00A43BE3" w:rsidRPr="00614B70"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614B70">
        <w:t xml:space="preserve">Voluntary contributions </w:t>
      </w:r>
      <w:r w:rsidR="003C33A2">
        <w:t>are accepted</w:t>
      </w:r>
      <w:r w:rsidRPr="00614B70">
        <w:t xml:space="preserve"> for all Older Americans Act services</w:t>
      </w:r>
      <w:r>
        <w:t>. Voluntary contributions,</w:t>
      </w:r>
      <w:r w:rsidRPr="00614B70">
        <w:t xml:space="preserve"> however</w:t>
      </w:r>
      <w:r>
        <w:t>,</w:t>
      </w:r>
      <w:r w:rsidRPr="00614B70">
        <w:t xml:space="preserve"> do not replace the cost sha</w:t>
      </w:r>
      <w:r w:rsidR="000342BB">
        <w:t xml:space="preserve">ring policy outlined above. </w:t>
      </w:r>
      <w:r w:rsidRPr="00614B70">
        <w:t xml:space="preserve"> </w:t>
      </w:r>
    </w:p>
    <w:p w14:paraId="227C9EAB" w14:textId="77777777" w:rsidR="00A43BE3" w:rsidRPr="00614B70"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27C9EAC" w14:textId="11BA37D0" w:rsidR="00A43BE3" w:rsidRPr="00614B70" w:rsidRDefault="00F26422"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The grantee</w:t>
      </w:r>
      <w:r w:rsidR="00A43BE3" w:rsidRPr="00614B70">
        <w:t xml:space="preserve"> shall advise clients of the opportunity to contribute towards the cost of the </w:t>
      </w:r>
      <w:r>
        <w:t>service</w:t>
      </w:r>
      <w:r w:rsidRPr="003C33A2">
        <w:t xml:space="preserve">.  </w:t>
      </w:r>
      <w:r w:rsidRPr="00305CA1">
        <w:rPr>
          <w:b/>
          <w:bCs/>
        </w:rPr>
        <w:t>In no case</w:t>
      </w:r>
      <w:r w:rsidRPr="003C33A2">
        <w:rPr>
          <w:b/>
          <w:bCs/>
        </w:rPr>
        <w:t xml:space="preserve"> shall the grantee</w:t>
      </w:r>
      <w:r w:rsidR="00A43BE3" w:rsidRPr="003C33A2">
        <w:rPr>
          <w:b/>
          <w:bCs/>
        </w:rPr>
        <w:t xml:space="preserve"> deny the provision of service to a consumer who is unable or unwilling to </w:t>
      </w:r>
      <w:proofErr w:type="gramStart"/>
      <w:r w:rsidR="00A43BE3" w:rsidRPr="003C33A2">
        <w:rPr>
          <w:b/>
          <w:bCs/>
        </w:rPr>
        <w:t>make a contribution</w:t>
      </w:r>
      <w:proofErr w:type="gramEnd"/>
      <w:r w:rsidR="00A43BE3" w:rsidRPr="003C33A2">
        <w:rPr>
          <w:b/>
          <w:bCs/>
        </w:rPr>
        <w:t>.</w:t>
      </w:r>
      <w:r w:rsidR="00A43BE3" w:rsidRPr="00614B70">
        <w:t xml:space="preserve">  Voluntary contributions </w:t>
      </w:r>
      <w:proofErr w:type="gramStart"/>
      <w:r w:rsidR="00A43BE3" w:rsidRPr="00614B70">
        <w:t>shall</w:t>
      </w:r>
      <w:proofErr w:type="gramEnd"/>
      <w:r w:rsidR="00A43BE3" w:rsidRPr="00614B70">
        <w:t xml:space="preserve"> be used to expand the service for which the contribution was </w:t>
      </w:r>
      <w:proofErr w:type="gramStart"/>
      <w:r w:rsidR="00A43BE3" w:rsidRPr="00614B70">
        <w:t>given</w:t>
      </w:r>
      <w:proofErr w:type="gramEnd"/>
      <w:r w:rsidR="00A43BE3" w:rsidRPr="00614B70">
        <w:t>.</w:t>
      </w:r>
    </w:p>
    <w:p w14:paraId="227C9EAD" w14:textId="77777777" w:rsidR="00F70F88" w:rsidRDefault="00F70F88"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14:paraId="227C9EAE" w14:textId="77777777" w:rsidR="000342BB" w:rsidRPr="00614B70" w:rsidRDefault="000342BB" w:rsidP="000342BB">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r>
        <w:rPr>
          <w:b/>
        </w:rPr>
        <w:t>OTHER PAYER SOURCES</w:t>
      </w:r>
    </w:p>
    <w:p w14:paraId="227C9EAF" w14:textId="77777777" w:rsidR="000342BB" w:rsidRDefault="000342BB"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14:paraId="227C9EB0" w14:textId="77777777" w:rsidR="000342BB" w:rsidRPr="005D4712" w:rsidRDefault="005D4712" w:rsidP="00F7146D">
      <w:pPr>
        <w:widowControl w:val="0"/>
        <w:autoSpaceDE w:val="0"/>
        <w:autoSpaceDN w:val="0"/>
        <w:adjustRightInd w:val="0"/>
        <w:spacing w:after="200"/>
        <w:contextualSpacing/>
      </w:pPr>
      <w:r>
        <w:t>All primary payers</w:t>
      </w:r>
      <w:r w:rsidR="000342BB" w:rsidRPr="00614B70">
        <w:t>,</w:t>
      </w:r>
      <w:r>
        <w:t xml:space="preserve"> including third-party payers, Medicare, Medical Assistance, H</w:t>
      </w:r>
      <w:r w:rsidR="000342BB" w:rsidRPr="00614B70">
        <w:t>ome a</w:t>
      </w:r>
      <w:r>
        <w:t>nd Community-Based Medicaid W</w:t>
      </w:r>
      <w:r w:rsidR="000342BB" w:rsidRPr="00614B70">
        <w:t>aiver</w:t>
      </w:r>
      <w:r>
        <w:t>s (</w:t>
      </w:r>
      <w:r w:rsidR="000342BB" w:rsidRPr="00614B70">
        <w:t>Alternative Care Program</w:t>
      </w:r>
      <w:r>
        <w:t xml:space="preserve"> and Elderly Waiver)</w:t>
      </w:r>
      <w:r w:rsidR="000342BB" w:rsidRPr="00614B70">
        <w:t>,</w:t>
      </w:r>
      <w:r>
        <w:t xml:space="preserve"> and health plans (MSHO)</w:t>
      </w:r>
      <w:r w:rsidR="000342BB" w:rsidRPr="00614B70">
        <w:t xml:space="preserve"> should be maximized</w:t>
      </w:r>
      <w:r>
        <w:t xml:space="preserve"> whenever possible for qualifying participan</w:t>
      </w:r>
      <w:r w:rsidR="000342BB" w:rsidRPr="00614B70">
        <w:t>ts.</w:t>
      </w:r>
      <w:r>
        <w:t xml:space="preserve">  Services provided under payment of any of the above primary payers are not eligible for reimbursement with Title III funds.</w:t>
      </w:r>
    </w:p>
    <w:p w14:paraId="227C9EB1" w14:textId="77777777" w:rsidR="000342BB" w:rsidRPr="00614B70" w:rsidRDefault="000342BB"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
        </w:rPr>
      </w:pPr>
    </w:p>
    <w:p w14:paraId="227C9EB2" w14:textId="77777777" w:rsidR="00A43BE3" w:rsidRPr="00614B70"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614B70">
        <w:rPr>
          <w:b/>
        </w:rPr>
        <w:t>PROGRAM INCOME</w:t>
      </w:r>
    </w:p>
    <w:p w14:paraId="227C9EB3" w14:textId="77777777" w:rsidR="00A43BE3" w:rsidRPr="00614B70"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27C9EB4" w14:textId="26BD4755" w:rsidR="00A43BE3" w:rsidRPr="000453A6" w:rsidRDefault="00A43BE3" w:rsidP="00A43BE3">
      <w:pPr>
        <w:widowControl w:val="0"/>
        <w:tabs>
          <w:tab w:val="left" w:pos="-1159"/>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rsidRPr="00614B70">
        <w:t xml:space="preserve">Program Income, as defined in 45 CFR 74 (or 45 CFR 92), includes, but is not limited to, client donations, cost share revenue and other income received by or due to the contracting organization, </w:t>
      </w:r>
      <w:proofErr w:type="gramStart"/>
      <w:r w:rsidRPr="00614B70">
        <w:t>as a result of</w:t>
      </w:r>
      <w:proofErr w:type="gramEnd"/>
      <w:r w:rsidRPr="00614B70">
        <w:t xml:space="preserve"> activities wholly or partially supported by funds from the </w:t>
      </w:r>
      <w:r w:rsidR="00F26422">
        <w:t>grant</w:t>
      </w:r>
      <w:r w:rsidRPr="00614B70">
        <w:t xml:space="preserve">.  </w:t>
      </w:r>
      <w:r w:rsidR="00F26422">
        <w:t>Title III-B funded</w:t>
      </w:r>
      <w:r w:rsidRPr="00614B70">
        <w:t xml:space="preserve"> organizations must report</w:t>
      </w:r>
      <w:r w:rsidR="00F26422">
        <w:t xml:space="preserve"> all program income to the </w:t>
      </w:r>
      <w:r w:rsidR="006A1E94">
        <w:t>A</w:t>
      </w:r>
      <w:r w:rsidR="00F26422">
        <w:t>AAA</w:t>
      </w:r>
      <w:r w:rsidRPr="00614B70">
        <w:t>.</w:t>
      </w:r>
      <w:r>
        <w:t xml:space="preserve">  </w:t>
      </w:r>
    </w:p>
    <w:p w14:paraId="227C9EB5" w14:textId="77777777" w:rsidR="0002646D" w:rsidRDefault="0002646D"/>
    <w:p w14:paraId="227C9EB6" w14:textId="77777777" w:rsidR="0002646D" w:rsidRDefault="0002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B8" w14:textId="77777777">
        <w:trPr>
          <w:trHeight w:val="89"/>
        </w:trPr>
        <w:tc>
          <w:tcPr>
            <w:tcW w:w="9576" w:type="dxa"/>
            <w:shd w:val="clear" w:color="auto" w:fill="000000"/>
          </w:tcPr>
          <w:p w14:paraId="227C9EB7" w14:textId="77777777" w:rsidR="0002646D" w:rsidRDefault="00171CF7">
            <w:pPr>
              <w:outlineLvl w:val="0"/>
              <w:rPr>
                <w:b/>
                <w:color w:val="FFFFFF"/>
                <w:sz w:val="28"/>
                <w:szCs w:val="28"/>
              </w:rPr>
            </w:pPr>
            <w:r>
              <w:rPr>
                <w:b/>
                <w:color w:val="FFFFFF"/>
                <w:sz w:val="28"/>
                <w:szCs w:val="28"/>
              </w:rPr>
              <w:t>V</w:t>
            </w:r>
            <w:r w:rsidR="0002646D">
              <w:rPr>
                <w:b/>
                <w:color w:val="FFFFFF"/>
                <w:sz w:val="28"/>
                <w:szCs w:val="28"/>
              </w:rPr>
              <w:t>. Agreements</w:t>
            </w:r>
          </w:p>
        </w:tc>
      </w:tr>
    </w:tbl>
    <w:p w14:paraId="227C9EB9" w14:textId="77777777" w:rsidR="0002646D" w:rsidRDefault="0002646D">
      <w:pPr>
        <w:pStyle w:val="BodyTextIndent"/>
        <w:ind w:left="0"/>
        <w:rPr>
          <w:rFonts w:ascii="Arial" w:hAnsi="Arial" w:cs="Arial"/>
          <w:highlight w:val="yellow"/>
        </w:rPr>
      </w:pPr>
    </w:p>
    <w:p w14:paraId="227C9EBA" w14:textId="77777777" w:rsidR="0002646D" w:rsidRDefault="0002646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All applicant agencies must sign an agreement stating they are aware of and intend to comply with </w:t>
      </w:r>
      <w:proofErr w:type="gramStart"/>
      <w:r>
        <w:t>a number of</w:t>
      </w:r>
      <w:proofErr w:type="gramEnd"/>
      <w:r>
        <w:t xml:space="preserve"> federal and state assurances and certification requirements, as listed in the Title III-B supportive services project application package (i.e., civil rights, rehabilitation act and data privacy compliance).  These assurances are to be considered as part of the application and are binding upon the applicant agency and the conduct of the project </w:t>
      </w:r>
      <w:proofErr w:type="gramStart"/>
      <w:r>
        <w:t>subsequent to</w:t>
      </w:r>
      <w:proofErr w:type="gramEnd"/>
      <w:r>
        <w:t xml:space="preserve"> the award of any funds by the Area Agency on Aging.</w:t>
      </w:r>
    </w:p>
    <w:p w14:paraId="227C9EBB" w14:textId="77777777" w:rsidR="0002646D" w:rsidRDefault="0002646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14:paraId="227C9EBC" w14:textId="4F01DB2C" w:rsidR="0002646D" w:rsidRDefault="0002646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In addition to the conditions in this Request </w:t>
      </w:r>
      <w:r w:rsidR="00155A73">
        <w:t>for</w:t>
      </w:r>
      <w:r>
        <w:t xml:space="preserve"> Proposal and the assurances that are signed as a part of the application package, </w:t>
      </w:r>
      <w:proofErr w:type="gramStart"/>
      <w:r>
        <w:t>grant</w:t>
      </w:r>
      <w:proofErr w:type="gramEnd"/>
      <w:r>
        <w:t xml:space="preserve"> recipient must also agree to:</w:t>
      </w:r>
    </w:p>
    <w:p w14:paraId="227C9EBD" w14:textId="77777777" w:rsidR="0002646D" w:rsidRDefault="0002646D">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Notify staff and volunteers that they are </w:t>
      </w:r>
      <w:r w:rsidRPr="00F87AFD">
        <w:t>not allowed to solicit contributions</w:t>
      </w:r>
      <w:r>
        <w:t xml:space="preserve"> (except program income), sell anything to clients, or encourage acceptance in a belief or philosophy by service participant.</w:t>
      </w:r>
    </w:p>
    <w:p w14:paraId="227C9EBE" w14:textId="77777777" w:rsidR="0002646D" w:rsidRDefault="0002646D">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Give visible recognition to AAAA and the Older Americans Act on all materials made available to the public which are paid for with Older Americans Act Title III-B funds (e.g. brochures, annual reports, videos and other printed material) with the following phrase, “Funded by the Arrowhead Area Agency on Aging as part of the Older Americans Act.”  If Older Americans Act Title III-B funds paid for a portion of materials the following phrase may be substituted, “Funded in part by the Arrowhead Area Agency on Aging as part of the Older Americans Act.”</w:t>
      </w:r>
    </w:p>
    <w:p w14:paraId="227C9EBF" w14:textId="77777777" w:rsidR="0002646D" w:rsidRPr="00D94CBF" w:rsidRDefault="0002646D">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Provide the organization’s service information on the Minnesota Board on Aging’s </w:t>
      </w:r>
      <w:r w:rsidRPr="00D94CBF">
        <w:t xml:space="preserve">online resource information directory, </w:t>
      </w:r>
      <w:hyperlink r:id="rId14" w:history="1">
        <w:r w:rsidR="00CF315E" w:rsidRPr="00E429F2">
          <w:rPr>
            <w:rStyle w:val="Hyperlink"/>
            <w:sz w:val="22"/>
            <w:szCs w:val="22"/>
          </w:rPr>
          <w:t>www.MinnesotaHelp.Info</w:t>
        </w:r>
      </w:hyperlink>
      <w:r w:rsidRPr="00D94CBF">
        <w:t>.</w:t>
      </w:r>
    </w:p>
    <w:p w14:paraId="227C9EC0" w14:textId="77777777" w:rsidR="00C34570" w:rsidRPr="00D94CBF" w:rsidRDefault="00C34570">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D94CBF">
        <w:lastRenderedPageBreak/>
        <w:t>Participate in local, regional and state disaster preparedness efforts as appropriate.</w:t>
      </w:r>
    </w:p>
    <w:p w14:paraId="227C9EC1" w14:textId="77777777" w:rsidR="0002646D" w:rsidRDefault="0002646D">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Have a written policy for reference checks, annual reviews and criminal background checks</w:t>
      </w:r>
      <w:r w:rsidR="00E74177">
        <w:t xml:space="preserve"> for staff and volunteers</w:t>
      </w:r>
      <w:r>
        <w:t>.</w:t>
      </w:r>
    </w:p>
    <w:p w14:paraId="227C9EC2" w14:textId="77777777" w:rsidR="0002646D" w:rsidRDefault="00580117">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Participate in</w:t>
      </w:r>
      <w:r w:rsidR="0002646D">
        <w:t xml:space="preserve"> site visit</w:t>
      </w:r>
      <w:r>
        <w:t>s as scheduled</w:t>
      </w:r>
      <w:r w:rsidR="00E74177">
        <w:t xml:space="preserve"> by the AAAA or </w:t>
      </w:r>
      <w:r w:rsidR="007E7BC0">
        <w:t xml:space="preserve">the </w:t>
      </w:r>
      <w:r w:rsidR="00E74177">
        <w:t>MBA</w:t>
      </w:r>
      <w:r w:rsidR="0002646D">
        <w:t>.</w:t>
      </w:r>
    </w:p>
    <w:p w14:paraId="227C9EC3" w14:textId="7DE5EEB7" w:rsidR="0002646D" w:rsidRDefault="0002646D">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Maintain records of actual program revenues and ope</w:t>
      </w:r>
      <w:r w:rsidR="00126A63">
        <w:t>rating costs for</w:t>
      </w:r>
      <w:r>
        <w:t xml:space="preserve"> the grant </w:t>
      </w:r>
      <w:r w:rsidR="00126A63">
        <w:t xml:space="preserve">period </w:t>
      </w:r>
      <w:r>
        <w:t xml:space="preserve">and five additional years after </w:t>
      </w:r>
      <w:r w:rsidR="00575F82">
        <w:t>notification of project period closeout from ARDC</w:t>
      </w:r>
      <w:r>
        <w:t>.</w:t>
      </w:r>
    </w:p>
    <w:p w14:paraId="227C9EC4" w14:textId="77777777" w:rsidR="0002646D" w:rsidRDefault="0002646D">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Participate in data collection process as required by the AAAA and/or federal and state regulations. </w:t>
      </w:r>
    </w:p>
    <w:p w14:paraId="227C9EC5" w14:textId="66C3EA74" w:rsidR="00435808" w:rsidRPr="00C34570" w:rsidRDefault="0002646D" w:rsidP="00C34570">
      <w:pPr>
        <w:numPr>
          <w:ilvl w:val="0"/>
          <w:numId w:val="17"/>
        </w:num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The project shall carry and maintain in effect for the duration of the grant, general liability insurance with a limit, at a minimum in aggregate of </w:t>
      </w:r>
      <w:r w:rsidRPr="00085493">
        <w:t>$1 million,</w:t>
      </w:r>
      <w:r>
        <w:t xml:space="preserve"> workers compensation, fidelity bonding insurance and other appropriate insurance.  Depending on the nature of the service, this limit may be negotiable.</w:t>
      </w:r>
    </w:p>
    <w:p w14:paraId="227C9EC6" w14:textId="77777777" w:rsidR="00F70F88" w:rsidRDefault="00F70F88"/>
    <w:p w14:paraId="227C9EC7" w14:textId="77777777" w:rsidR="0002646D" w:rsidRDefault="000264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C9" w14:textId="77777777">
        <w:trPr>
          <w:trHeight w:val="89"/>
        </w:trPr>
        <w:tc>
          <w:tcPr>
            <w:tcW w:w="9576" w:type="dxa"/>
            <w:shd w:val="clear" w:color="auto" w:fill="000000"/>
          </w:tcPr>
          <w:p w14:paraId="227C9EC8" w14:textId="77777777" w:rsidR="0002646D" w:rsidRDefault="00171CF7">
            <w:pPr>
              <w:outlineLvl w:val="0"/>
              <w:rPr>
                <w:b/>
                <w:color w:val="FFFFFF"/>
                <w:sz w:val="28"/>
                <w:szCs w:val="28"/>
              </w:rPr>
            </w:pPr>
            <w:bookmarkStart w:id="4" w:name="_Toc100554584"/>
            <w:r>
              <w:rPr>
                <w:b/>
                <w:color w:val="FFFFFF"/>
                <w:sz w:val="28"/>
                <w:szCs w:val="28"/>
              </w:rPr>
              <w:t>V</w:t>
            </w:r>
            <w:r w:rsidR="0002646D">
              <w:rPr>
                <w:b/>
                <w:color w:val="FFFFFF"/>
                <w:sz w:val="28"/>
                <w:szCs w:val="28"/>
              </w:rPr>
              <w:t>I. Reporting Requirements</w:t>
            </w:r>
            <w:bookmarkEnd w:id="4"/>
          </w:p>
        </w:tc>
      </w:tr>
    </w:tbl>
    <w:p w14:paraId="227C9ECA" w14:textId="77777777" w:rsidR="0002646D" w:rsidRDefault="0002646D">
      <w:pPr>
        <w:pStyle w:val="BodyTextIndent"/>
        <w:ind w:left="0"/>
        <w:rPr>
          <w:rFonts w:ascii="Arial" w:hAnsi="Arial" w:cs="Arial"/>
          <w:highlight w:val="yellow"/>
        </w:rPr>
      </w:pPr>
    </w:p>
    <w:p w14:paraId="700BFA7A" w14:textId="2F572589" w:rsidR="00FE774E" w:rsidRPr="00B313CD" w:rsidRDefault="00FE774E" w:rsidP="00FE774E">
      <w:pPr>
        <w:pStyle w:val="BodyText"/>
        <w:spacing w:before="71"/>
        <w:ind w:left="232" w:right="282"/>
        <w:rPr>
          <w:rFonts w:ascii="Arial" w:hAnsi="Arial" w:cs="Arial"/>
          <w:sz w:val="24"/>
          <w:szCs w:val="24"/>
        </w:rPr>
      </w:pPr>
      <w:r w:rsidRPr="00B313CD">
        <w:rPr>
          <w:rFonts w:ascii="Arial" w:hAnsi="Arial" w:cs="Arial"/>
          <w:sz w:val="24"/>
          <w:szCs w:val="24"/>
        </w:rPr>
        <w:t>Title III projects are required to complete quarterly financial</w:t>
      </w:r>
      <w:r w:rsidR="00506DDF">
        <w:rPr>
          <w:rFonts w:ascii="Arial" w:hAnsi="Arial" w:cs="Arial"/>
          <w:sz w:val="24"/>
          <w:szCs w:val="24"/>
        </w:rPr>
        <w:t>,</w:t>
      </w:r>
      <w:r w:rsidRPr="00B313CD">
        <w:rPr>
          <w:rFonts w:ascii="Arial" w:hAnsi="Arial" w:cs="Arial"/>
          <w:sz w:val="24"/>
          <w:szCs w:val="24"/>
        </w:rPr>
        <w:t xml:space="preserve"> service progress reports</w:t>
      </w:r>
      <w:r w:rsidR="00012CB8">
        <w:rPr>
          <w:rFonts w:ascii="Arial" w:hAnsi="Arial" w:cs="Arial"/>
          <w:sz w:val="24"/>
          <w:szCs w:val="24"/>
        </w:rPr>
        <w:t xml:space="preserve"> and monthly NAPIS registration reports</w:t>
      </w:r>
      <w:r w:rsidR="009E1213">
        <w:rPr>
          <w:rFonts w:ascii="Arial" w:hAnsi="Arial" w:cs="Arial"/>
          <w:sz w:val="24"/>
          <w:szCs w:val="24"/>
        </w:rPr>
        <w:t xml:space="preserve"> (registered services only)</w:t>
      </w:r>
      <w:r w:rsidR="00472A3D">
        <w:rPr>
          <w:rFonts w:ascii="Arial" w:hAnsi="Arial" w:cs="Arial"/>
          <w:sz w:val="24"/>
          <w:szCs w:val="24"/>
        </w:rPr>
        <w:t xml:space="preserve">. </w:t>
      </w:r>
      <w:r w:rsidR="00A37C4A">
        <w:rPr>
          <w:rFonts w:ascii="Arial" w:hAnsi="Arial" w:cs="Arial"/>
          <w:sz w:val="24"/>
          <w:szCs w:val="24"/>
        </w:rPr>
        <w:t>Client registration forms must be signed in person by the client</w:t>
      </w:r>
      <w:r w:rsidR="009E1213">
        <w:rPr>
          <w:rFonts w:ascii="Arial" w:hAnsi="Arial" w:cs="Arial"/>
          <w:sz w:val="24"/>
          <w:szCs w:val="24"/>
        </w:rPr>
        <w:t>. Monthly</w:t>
      </w:r>
      <w:r w:rsidR="004462FD">
        <w:rPr>
          <w:rFonts w:ascii="Arial" w:hAnsi="Arial" w:cs="Arial"/>
          <w:sz w:val="24"/>
          <w:szCs w:val="24"/>
        </w:rPr>
        <w:t xml:space="preserve"> </w:t>
      </w:r>
      <w:r w:rsidR="00537476">
        <w:rPr>
          <w:rFonts w:ascii="Arial" w:hAnsi="Arial" w:cs="Arial"/>
          <w:sz w:val="24"/>
          <w:szCs w:val="24"/>
        </w:rPr>
        <w:t>reports are to be submitted to AAAA staff on the 3</w:t>
      </w:r>
      <w:r w:rsidR="00537476" w:rsidRPr="00537476">
        <w:rPr>
          <w:rFonts w:ascii="Arial" w:hAnsi="Arial" w:cs="Arial"/>
          <w:sz w:val="24"/>
          <w:szCs w:val="24"/>
          <w:vertAlign w:val="superscript"/>
        </w:rPr>
        <w:t>rd</w:t>
      </w:r>
      <w:r w:rsidR="00537476">
        <w:rPr>
          <w:rFonts w:ascii="Arial" w:hAnsi="Arial" w:cs="Arial"/>
          <w:sz w:val="24"/>
          <w:szCs w:val="24"/>
        </w:rPr>
        <w:t xml:space="preserve"> day of the </w:t>
      </w:r>
      <w:r w:rsidR="005B5A35">
        <w:rPr>
          <w:rFonts w:ascii="Arial" w:hAnsi="Arial" w:cs="Arial"/>
          <w:sz w:val="24"/>
          <w:szCs w:val="24"/>
        </w:rPr>
        <w:t>following month.</w:t>
      </w:r>
      <w:r w:rsidRPr="00B313CD">
        <w:rPr>
          <w:rFonts w:ascii="Arial" w:hAnsi="Arial" w:cs="Arial"/>
          <w:sz w:val="24"/>
          <w:szCs w:val="24"/>
        </w:rPr>
        <w:t xml:space="preserve"> </w:t>
      </w:r>
      <w:r w:rsidR="0034156A" w:rsidRPr="00B313CD">
        <w:rPr>
          <w:rFonts w:ascii="Arial" w:hAnsi="Arial" w:cs="Arial"/>
          <w:sz w:val="24"/>
          <w:szCs w:val="24"/>
        </w:rPr>
        <w:t>The quarters</w:t>
      </w:r>
      <w:r w:rsidRPr="00B313CD">
        <w:rPr>
          <w:rFonts w:ascii="Arial" w:hAnsi="Arial" w:cs="Arial"/>
          <w:sz w:val="24"/>
          <w:szCs w:val="24"/>
        </w:rPr>
        <w:t xml:space="preserve"> end on March 31, June 30, September 30 and December 31. </w:t>
      </w:r>
      <w:r w:rsidR="004462FD">
        <w:rPr>
          <w:rFonts w:ascii="Arial" w:hAnsi="Arial" w:cs="Arial"/>
          <w:sz w:val="24"/>
          <w:szCs w:val="24"/>
        </w:rPr>
        <w:t>Quarterly r</w:t>
      </w:r>
      <w:r w:rsidRPr="00B313CD">
        <w:rPr>
          <w:rFonts w:ascii="Arial" w:hAnsi="Arial" w:cs="Arial"/>
          <w:sz w:val="24"/>
          <w:szCs w:val="24"/>
        </w:rPr>
        <w:t>eports are to be submitted to AAAA staff on the 6</w:t>
      </w:r>
      <w:proofErr w:type="spellStart"/>
      <w:r w:rsidR="005B5A35">
        <w:rPr>
          <w:rFonts w:ascii="Arial" w:hAnsi="Arial" w:cs="Arial"/>
          <w:position w:val="8"/>
          <w:sz w:val="24"/>
          <w:szCs w:val="24"/>
        </w:rPr>
        <w:t>th</w:t>
      </w:r>
      <w:proofErr w:type="spellEnd"/>
      <w:r w:rsidRPr="00B313CD">
        <w:rPr>
          <w:rFonts w:ascii="Arial" w:hAnsi="Arial" w:cs="Arial"/>
          <w:position w:val="8"/>
          <w:sz w:val="24"/>
          <w:szCs w:val="24"/>
        </w:rPr>
        <w:t xml:space="preserve"> </w:t>
      </w:r>
      <w:r w:rsidRPr="00B313CD">
        <w:rPr>
          <w:rFonts w:ascii="Arial" w:hAnsi="Arial" w:cs="Arial"/>
          <w:sz w:val="24"/>
          <w:szCs w:val="24"/>
        </w:rPr>
        <w:t>day of the next month following the end of the quarter (April 6, July 6, October 6 and January 6). These reports consist of the following components:</w:t>
      </w:r>
    </w:p>
    <w:p w14:paraId="227C9ECC" w14:textId="77777777" w:rsidR="0002646D" w:rsidRDefault="0002646D">
      <w:pPr>
        <w:tabs>
          <w:tab w:val="left" w:pos="-1080"/>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14:paraId="227C9ECD" w14:textId="77777777" w:rsidR="0002646D" w:rsidRDefault="0002646D">
      <w:pPr>
        <w:numPr>
          <w:ilvl w:val="1"/>
          <w:numId w:val="18"/>
        </w:num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Financial Report and Request for Payment</w:t>
      </w:r>
    </w:p>
    <w:p w14:paraId="227C9ECE" w14:textId="77777777" w:rsidR="0002646D" w:rsidRDefault="0002646D">
      <w:pPr>
        <w:numPr>
          <w:ilvl w:val="1"/>
          <w:numId w:val="18"/>
        </w:num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Narrative of Quarterly Events</w:t>
      </w:r>
    </w:p>
    <w:p w14:paraId="227C9ECF" w14:textId="77777777" w:rsidR="0002646D" w:rsidRPr="00E55944" w:rsidRDefault="0002646D">
      <w:pPr>
        <w:numPr>
          <w:ilvl w:val="1"/>
          <w:numId w:val="18"/>
        </w:num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E55944">
        <w:t>Characteristics of Persons Served Report</w:t>
      </w:r>
    </w:p>
    <w:p w14:paraId="227C9ED0" w14:textId="77777777" w:rsidR="00F53E4E" w:rsidRPr="00E55944" w:rsidRDefault="0002646D">
      <w:pPr>
        <w:numPr>
          <w:ilvl w:val="1"/>
          <w:numId w:val="18"/>
        </w:num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E55944">
        <w:t>Progress Report on Outreach to Low-Income and Minority Persons</w:t>
      </w:r>
    </w:p>
    <w:p w14:paraId="227C9ED1" w14:textId="77777777" w:rsidR="0002646D" w:rsidRPr="00E55944" w:rsidRDefault="00F53E4E">
      <w:pPr>
        <w:numPr>
          <w:ilvl w:val="1"/>
          <w:numId w:val="18"/>
        </w:num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E55944">
        <w:t>Outcome-based Evaluation Results Report</w:t>
      </w:r>
    </w:p>
    <w:p w14:paraId="227C9ED2" w14:textId="77777777" w:rsidR="0002646D" w:rsidRDefault="0002646D">
      <w:pPr>
        <w:pStyle w:val="BodyTextIndent"/>
        <w:ind w:left="0"/>
        <w:rPr>
          <w:rFonts w:ascii="Arial" w:hAnsi="Arial" w:cs="Arial"/>
        </w:rPr>
      </w:pPr>
    </w:p>
    <w:p w14:paraId="227C9ED3" w14:textId="77777777" w:rsidR="0090115B" w:rsidRDefault="0090115B" w:rsidP="009D6678">
      <w:pPr>
        <w:pStyle w:val="BodyTextIndent"/>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D5" w14:textId="77777777">
        <w:trPr>
          <w:trHeight w:val="89"/>
        </w:trPr>
        <w:tc>
          <w:tcPr>
            <w:tcW w:w="9576" w:type="dxa"/>
            <w:shd w:val="clear" w:color="auto" w:fill="000000"/>
          </w:tcPr>
          <w:p w14:paraId="227C9ED4" w14:textId="77777777" w:rsidR="0002646D" w:rsidRDefault="00D83320">
            <w:pPr>
              <w:outlineLvl w:val="0"/>
              <w:rPr>
                <w:b/>
                <w:color w:val="FFFFFF"/>
                <w:sz w:val="28"/>
                <w:szCs w:val="28"/>
              </w:rPr>
            </w:pPr>
            <w:r>
              <w:rPr>
                <w:b/>
                <w:color w:val="FFFFFF"/>
                <w:sz w:val="28"/>
                <w:szCs w:val="28"/>
              </w:rPr>
              <w:t>VI</w:t>
            </w:r>
            <w:r w:rsidR="00D664C4">
              <w:rPr>
                <w:b/>
                <w:color w:val="FFFFFF"/>
                <w:sz w:val="28"/>
                <w:szCs w:val="28"/>
              </w:rPr>
              <w:t>I</w:t>
            </w:r>
            <w:r w:rsidR="0002646D">
              <w:rPr>
                <w:b/>
                <w:color w:val="FFFFFF"/>
                <w:sz w:val="28"/>
                <w:szCs w:val="28"/>
              </w:rPr>
              <w:t>. Application Process</w:t>
            </w:r>
          </w:p>
        </w:tc>
      </w:tr>
    </w:tbl>
    <w:p w14:paraId="227C9ED6" w14:textId="77777777" w:rsidR="0002646D" w:rsidRDefault="0002646D">
      <w:pPr>
        <w:pStyle w:val="BodyTextIndent"/>
        <w:ind w:left="0"/>
        <w:rPr>
          <w:rFonts w:ascii="Arial" w:hAnsi="Arial" w:cs="Arial"/>
        </w:rPr>
      </w:pPr>
    </w:p>
    <w:p w14:paraId="227C9ED7" w14:textId="77777777" w:rsidR="006B75DD" w:rsidRDefault="00D37790" w:rsidP="006B75DD">
      <w:pPr>
        <w:pStyle w:val="BodyText"/>
        <w:spacing w:before="92"/>
        <w:ind w:left="232" w:right="221"/>
      </w:pPr>
      <w:r>
        <w:t>Organizations interested in applying for Title III-B Older Americans Act funds must submit a complete application</w:t>
      </w:r>
      <w:r w:rsidR="006B75DD" w:rsidRPr="006B75DD">
        <w:t xml:space="preserve"> </w:t>
      </w:r>
      <w:r w:rsidR="006B75DD">
        <w:t xml:space="preserve">at: </w:t>
      </w:r>
      <w:hyperlink r:id="rId15" w:tgtFrame="_blank" w:history="1">
        <w:r w:rsidR="006B75DD">
          <w:rPr>
            <w:rStyle w:val="Hyperlink"/>
          </w:rPr>
          <w:t>https://aaaa.us-1.smartsimple.com/s_Login.jsp</w:t>
        </w:r>
      </w:hyperlink>
    </w:p>
    <w:p w14:paraId="227C9ED8" w14:textId="77777777" w:rsidR="00126A63" w:rsidRDefault="006B75DD" w:rsidP="006B75DD">
      <w:p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 </w:t>
      </w:r>
    </w:p>
    <w:p w14:paraId="227C9ED9" w14:textId="77777777" w:rsidR="00CA2BC9" w:rsidRDefault="00CA2BC9" w:rsidP="00B12813">
      <w:pPr>
        <w:pStyle w:val="BodyTextIndent"/>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DB" w14:textId="77777777">
        <w:trPr>
          <w:trHeight w:val="89"/>
        </w:trPr>
        <w:tc>
          <w:tcPr>
            <w:tcW w:w="9576" w:type="dxa"/>
            <w:shd w:val="clear" w:color="auto" w:fill="000000"/>
          </w:tcPr>
          <w:p w14:paraId="227C9EDA" w14:textId="77777777" w:rsidR="0002646D" w:rsidRDefault="00D83320" w:rsidP="00D83320">
            <w:pPr>
              <w:outlineLvl w:val="0"/>
              <w:rPr>
                <w:b/>
                <w:color w:val="FFFFFF"/>
                <w:sz w:val="28"/>
                <w:szCs w:val="28"/>
              </w:rPr>
            </w:pPr>
            <w:r>
              <w:rPr>
                <w:b/>
                <w:color w:val="FFFFFF"/>
                <w:sz w:val="28"/>
                <w:szCs w:val="28"/>
              </w:rPr>
              <w:t>VII</w:t>
            </w:r>
            <w:r w:rsidR="00D664C4">
              <w:rPr>
                <w:b/>
                <w:color w:val="FFFFFF"/>
                <w:sz w:val="28"/>
                <w:szCs w:val="28"/>
              </w:rPr>
              <w:t>I</w:t>
            </w:r>
            <w:r w:rsidR="0002646D">
              <w:rPr>
                <w:b/>
                <w:color w:val="FFFFFF"/>
                <w:sz w:val="28"/>
                <w:szCs w:val="28"/>
              </w:rPr>
              <w:t xml:space="preserve">. </w:t>
            </w:r>
            <w:r>
              <w:rPr>
                <w:b/>
                <w:color w:val="FFFFFF"/>
                <w:sz w:val="28"/>
                <w:szCs w:val="28"/>
              </w:rPr>
              <w:t xml:space="preserve">Proposal </w:t>
            </w:r>
            <w:r w:rsidR="0002646D">
              <w:rPr>
                <w:b/>
                <w:color w:val="FFFFFF"/>
                <w:sz w:val="28"/>
                <w:szCs w:val="28"/>
              </w:rPr>
              <w:t>Evaluation</w:t>
            </w:r>
          </w:p>
        </w:tc>
      </w:tr>
    </w:tbl>
    <w:p w14:paraId="227C9EDC" w14:textId="77777777" w:rsidR="0002646D" w:rsidRDefault="0002646D">
      <w:pPr>
        <w:pStyle w:val="BodyTextIndent"/>
        <w:ind w:left="0"/>
        <w:rPr>
          <w:rFonts w:ascii="Arial" w:hAnsi="Arial" w:cs="Arial"/>
        </w:rPr>
      </w:pPr>
    </w:p>
    <w:p w14:paraId="227C9EDD" w14:textId="77777777" w:rsidR="00736DA4" w:rsidRDefault="00736DA4" w:rsidP="00736DA4">
      <w:pPr>
        <w:pStyle w:val="BodyTextIndent"/>
        <w:ind w:left="0"/>
        <w:rPr>
          <w:rFonts w:ascii="Arial" w:hAnsi="Arial" w:cs="Arial"/>
        </w:rPr>
      </w:pPr>
      <w:r>
        <w:rPr>
          <w:rFonts w:ascii="Arial" w:hAnsi="Arial" w:cs="Arial"/>
        </w:rPr>
        <w:t>Each proposal will be reviewed, evaluated and scored based on how it meets the needs of the identified targeted population</w:t>
      </w:r>
      <w:r w:rsidR="0033691B">
        <w:rPr>
          <w:rFonts w:ascii="Arial" w:hAnsi="Arial" w:cs="Arial"/>
        </w:rPr>
        <w:t>s</w:t>
      </w:r>
      <w:r>
        <w:rPr>
          <w:rFonts w:ascii="Arial" w:hAnsi="Arial" w:cs="Arial"/>
        </w:rPr>
        <w:t xml:space="preserve"> in addition to the following information:</w:t>
      </w:r>
    </w:p>
    <w:p w14:paraId="227C9EDE" w14:textId="77777777" w:rsidR="00736DA4" w:rsidRDefault="00736DA4" w:rsidP="00736DA4">
      <w:pPr>
        <w:pStyle w:val="BodyTextIndent"/>
        <w:ind w:left="0"/>
      </w:pPr>
    </w:p>
    <w:p w14:paraId="227C9EDF" w14:textId="77777777" w:rsidR="00736DA4" w:rsidRDefault="00736DA4" w:rsidP="00736DA4">
      <w:pPr>
        <w:numPr>
          <w:ilvl w:val="0"/>
          <w:numId w:val="36"/>
        </w:numPr>
        <w:spacing w:after="60"/>
      </w:pPr>
      <w:r w:rsidRPr="00077BB8">
        <w:t>Proposed service design is clear and logical.</w:t>
      </w:r>
      <w:r>
        <w:t xml:space="preserve"> </w:t>
      </w:r>
    </w:p>
    <w:p w14:paraId="227C9EE0" w14:textId="77777777" w:rsidR="00736DA4" w:rsidRPr="00077BB8" w:rsidRDefault="00736DA4" w:rsidP="00736DA4">
      <w:pPr>
        <w:numPr>
          <w:ilvl w:val="0"/>
          <w:numId w:val="36"/>
        </w:numPr>
        <w:spacing w:after="60"/>
      </w:pPr>
      <w:proofErr w:type="gramStart"/>
      <w:r w:rsidRPr="008476A4">
        <w:t>Pr</w:t>
      </w:r>
      <w:r>
        <w:t>oposed</w:t>
      </w:r>
      <w:proofErr w:type="gramEnd"/>
      <w:r>
        <w:t xml:space="preserve"> staffing plan is sufficient to support </w:t>
      </w:r>
      <w:proofErr w:type="gramStart"/>
      <w:r>
        <w:t>proposed</w:t>
      </w:r>
      <w:proofErr w:type="gramEnd"/>
      <w:r>
        <w:t xml:space="preserve"> program.  </w:t>
      </w:r>
    </w:p>
    <w:p w14:paraId="227C9EE1" w14:textId="77777777" w:rsidR="00736DA4" w:rsidRPr="00303CAF" w:rsidRDefault="00736DA4" w:rsidP="00736DA4">
      <w:pPr>
        <w:numPr>
          <w:ilvl w:val="0"/>
          <w:numId w:val="36"/>
        </w:numPr>
        <w:spacing w:after="60"/>
      </w:pPr>
      <w:r w:rsidRPr="00077BB8">
        <w:lastRenderedPageBreak/>
        <w:t xml:space="preserve">Project provides evidence of collaboration or cooperation with other agencies to </w:t>
      </w:r>
      <w:r w:rsidRPr="00303CAF">
        <w:t>develop services, maximize resources and to address duplication of services.</w:t>
      </w:r>
      <w:r>
        <w:t xml:space="preserve">  </w:t>
      </w:r>
    </w:p>
    <w:p w14:paraId="227C9EE2" w14:textId="77777777" w:rsidR="00736DA4" w:rsidRPr="00303CAF" w:rsidRDefault="00736DA4" w:rsidP="00736DA4">
      <w:pPr>
        <w:numPr>
          <w:ilvl w:val="0"/>
          <w:numId w:val="36"/>
        </w:numPr>
        <w:spacing w:after="60"/>
      </w:pPr>
      <w:r w:rsidRPr="00303CAF">
        <w:t xml:space="preserve">Outreach efforts to inform the public of the service </w:t>
      </w:r>
      <w:proofErr w:type="gramStart"/>
      <w:r w:rsidRPr="00303CAF">
        <w:t>in order to</w:t>
      </w:r>
      <w:proofErr w:type="gramEnd"/>
      <w:r w:rsidRPr="00303CAF">
        <w:t xml:space="preserve"> develop a referral network in addition to recruiting participants who meet one or more of the targeting criteria are appropriate.</w:t>
      </w:r>
      <w:r>
        <w:t xml:space="preserve">  </w:t>
      </w:r>
    </w:p>
    <w:p w14:paraId="227C9EE3" w14:textId="77777777" w:rsidR="00736DA4" w:rsidRPr="0082035E" w:rsidRDefault="00736DA4" w:rsidP="00736DA4">
      <w:pPr>
        <w:numPr>
          <w:ilvl w:val="0"/>
          <w:numId w:val="36"/>
        </w:numPr>
        <w:spacing w:after="60"/>
      </w:pPr>
      <w:r w:rsidRPr="0082035E">
        <w:t>Evidence of a method</w:t>
      </w:r>
      <w:r>
        <w:t xml:space="preserve"> that </w:t>
      </w:r>
      <w:r w:rsidRPr="0082035E">
        <w:t>provide</w:t>
      </w:r>
      <w:r>
        <w:t>s</w:t>
      </w:r>
      <w:r w:rsidRPr="0082035E">
        <w:t xml:space="preserve"> participants with</w:t>
      </w:r>
      <w:r>
        <w:t xml:space="preserve"> an opportunity</w:t>
      </w:r>
      <w:r w:rsidRPr="0082035E">
        <w:t xml:space="preserve"> to </w:t>
      </w:r>
      <w:r>
        <w:t xml:space="preserve">financially </w:t>
      </w:r>
      <w:r w:rsidRPr="0082035E">
        <w:t>contribute to the costs of the program.</w:t>
      </w:r>
      <w:r>
        <w:t xml:space="preserve">  </w:t>
      </w:r>
    </w:p>
    <w:p w14:paraId="227C9EE4" w14:textId="77777777" w:rsidR="00736DA4" w:rsidRDefault="00E56E45" w:rsidP="00736DA4">
      <w:pPr>
        <w:numPr>
          <w:ilvl w:val="0"/>
          <w:numId w:val="36"/>
        </w:numPr>
        <w:spacing w:after="60"/>
      </w:pPr>
      <w:r>
        <w:t>P</w:t>
      </w:r>
      <w:r w:rsidR="000E080C">
        <w:t>roject cost is</w:t>
      </w:r>
      <w:r w:rsidR="00736DA4" w:rsidRPr="005E2F9F">
        <w:t xml:space="preserve"> rea</w:t>
      </w:r>
      <w:r w:rsidR="004B2F48">
        <w:t>sonable</w:t>
      </w:r>
      <w:r w:rsidR="00736DA4" w:rsidRPr="005E2F9F">
        <w:t>.</w:t>
      </w:r>
      <w:r w:rsidR="00736DA4">
        <w:t xml:space="preserve">  </w:t>
      </w:r>
    </w:p>
    <w:p w14:paraId="227C9EE5" w14:textId="77777777" w:rsidR="003B0075" w:rsidRDefault="00736DA4" w:rsidP="00736DA4">
      <w:pPr>
        <w:numPr>
          <w:ilvl w:val="0"/>
          <w:numId w:val="36"/>
        </w:numPr>
        <w:spacing w:after="60"/>
      </w:pPr>
      <w:r>
        <w:t>Application is accurate</w:t>
      </w:r>
      <w:r w:rsidRPr="005E2F9F">
        <w:t xml:space="preserve"> and</w:t>
      </w:r>
      <w:r>
        <w:t xml:space="preserve"> complete</w:t>
      </w:r>
      <w:r w:rsidRPr="005E2F9F">
        <w:t xml:space="preserve"> (all requested information is completed and submitted).</w:t>
      </w:r>
    </w:p>
    <w:p w14:paraId="227C9EE6" w14:textId="77777777" w:rsidR="00736DA4" w:rsidRDefault="00736DA4" w:rsidP="00736DA4">
      <w:pPr>
        <w:pStyle w:val="BodyTextIndent"/>
        <w:ind w:left="0"/>
        <w:rPr>
          <w:color w:val="808080"/>
          <w:sz w:val="22"/>
          <w:szCs w:val="22"/>
        </w:rPr>
      </w:pPr>
    </w:p>
    <w:p w14:paraId="227C9EE7" w14:textId="77777777" w:rsidR="00787BE4" w:rsidRPr="00787BE4" w:rsidRDefault="00787BE4" w:rsidP="00787BE4">
      <w:r w:rsidRPr="00787BE4">
        <w:t xml:space="preserve">Any attempt to influence members of the evaluation committee, AAAA staff, AAAA Advisory Committee on Aging members, or otherwise to affect the outcome of the award shall be grounds for disqualification.  </w:t>
      </w:r>
    </w:p>
    <w:p w14:paraId="227C9EE8" w14:textId="77777777" w:rsidR="00787BE4" w:rsidRDefault="00787BE4" w:rsidP="0090115B">
      <w:p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rPr>
          <w:color w:val="808080"/>
          <w:sz w:val="22"/>
          <w:szCs w:val="22"/>
        </w:rPr>
      </w:pPr>
    </w:p>
    <w:p w14:paraId="227C9EE9" w14:textId="77777777" w:rsidR="006F648C" w:rsidRDefault="006F648C" w:rsidP="0090115B">
      <w:pPr>
        <w:tabs>
          <w:tab w:val="left" w:pos="-1080"/>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EB" w14:textId="77777777">
        <w:trPr>
          <w:trHeight w:val="89"/>
        </w:trPr>
        <w:tc>
          <w:tcPr>
            <w:tcW w:w="9576" w:type="dxa"/>
            <w:shd w:val="clear" w:color="auto" w:fill="000000"/>
          </w:tcPr>
          <w:p w14:paraId="227C9EEA" w14:textId="77777777" w:rsidR="0002646D" w:rsidRDefault="00D83320">
            <w:pPr>
              <w:outlineLvl w:val="0"/>
              <w:rPr>
                <w:b/>
                <w:color w:val="FFFFFF"/>
                <w:sz w:val="28"/>
                <w:szCs w:val="28"/>
              </w:rPr>
            </w:pPr>
            <w:bookmarkStart w:id="5" w:name="_Toc100554585"/>
            <w:r>
              <w:rPr>
                <w:b/>
                <w:color w:val="FFFFFF"/>
                <w:sz w:val="28"/>
                <w:szCs w:val="28"/>
              </w:rPr>
              <w:t>I</w:t>
            </w:r>
            <w:r w:rsidR="00D664C4">
              <w:rPr>
                <w:b/>
                <w:color w:val="FFFFFF"/>
                <w:sz w:val="28"/>
                <w:szCs w:val="28"/>
              </w:rPr>
              <w:t>X</w:t>
            </w:r>
            <w:r w:rsidR="0002646D">
              <w:rPr>
                <w:b/>
                <w:color w:val="FFFFFF"/>
                <w:sz w:val="28"/>
                <w:szCs w:val="28"/>
              </w:rPr>
              <w:t>. Selection Process</w:t>
            </w:r>
            <w:bookmarkEnd w:id="5"/>
          </w:p>
        </w:tc>
      </w:tr>
    </w:tbl>
    <w:p w14:paraId="227C9EEC" w14:textId="77777777" w:rsidR="0002646D" w:rsidRDefault="0002646D">
      <w:pPr>
        <w:pStyle w:val="BodyTextIndent"/>
        <w:ind w:left="0"/>
        <w:rPr>
          <w:rFonts w:ascii="Arial" w:hAnsi="Arial" w:cs="Arial"/>
        </w:rPr>
      </w:pPr>
    </w:p>
    <w:p w14:paraId="227C9EED" w14:textId="77777777" w:rsidR="0002646D" w:rsidRDefault="0002646D">
      <w:pPr>
        <w:pStyle w:val="BodyTextIndent"/>
        <w:ind w:left="0"/>
        <w:rPr>
          <w:rFonts w:ascii="Arial" w:hAnsi="Arial" w:cs="Arial"/>
        </w:rPr>
      </w:pPr>
      <w:r>
        <w:rPr>
          <w:rFonts w:ascii="Arial" w:hAnsi="Arial" w:cs="Arial"/>
        </w:rPr>
        <w:t>The AAAA reserves the right to select or reject any proposal. Successful applicants may be asked to further define and/or refine the services proposed. The AAAA may conduct a site visit as part of the review process to verify the applicant’s</w:t>
      </w:r>
      <w:r>
        <w:t xml:space="preserve"> </w:t>
      </w:r>
      <w:r>
        <w:rPr>
          <w:rFonts w:ascii="Arial" w:hAnsi="Arial" w:cs="Arial"/>
        </w:rPr>
        <w:t xml:space="preserve">service capacity. </w:t>
      </w:r>
    </w:p>
    <w:p w14:paraId="227C9EEE" w14:textId="77777777" w:rsidR="0002646D" w:rsidRDefault="0002646D">
      <w:pPr>
        <w:pStyle w:val="BodyTextIndent"/>
        <w:rPr>
          <w:rFonts w:ascii="Arial" w:hAnsi="Arial" w:cs="Arial"/>
        </w:rPr>
      </w:pPr>
      <w:r>
        <w:rPr>
          <w:rFonts w:ascii="Arial" w:hAnsi="Arial" w:cs="Arial"/>
        </w:rPr>
        <w:tab/>
      </w:r>
    </w:p>
    <w:p w14:paraId="227C9EEF" w14:textId="77777777" w:rsidR="0002646D" w:rsidRDefault="0002646D">
      <w:pPr>
        <w:pStyle w:val="BodyTextIndent"/>
        <w:ind w:left="0"/>
        <w:rPr>
          <w:color w:val="0000FF"/>
        </w:rPr>
      </w:pPr>
      <w:r>
        <w:rPr>
          <w:rFonts w:ascii="Arial" w:hAnsi="Arial" w:cs="Arial"/>
        </w:rPr>
        <w:t>An evaluation team composed of AAAA Advisory Committee on Aging</w:t>
      </w:r>
      <w:r w:rsidR="00866B3F">
        <w:rPr>
          <w:rFonts w:ascii="Arial" w:hAnsi="Arial" w:cs="Arial"/>
        </w:rPr>
        <w:t xml:space="preserve"> Review Task Force members, </w:t>
      </w:r>
      <w:r>
        <w:rPr>
          <w:rFonts w:ascii="Arial" w:hAnsi="Arial" w:cs="Arial"/>
        </w:rPr>
        <w:t>community members and/or outside consultants will review and rate the proposals based on the evaluation factors liste</w:t>
      </w:r>
      <w:r w:rsidR="00170A91">
        <w:rPr>
          <w:rFonts w:ascii="Arial" w:hAnsi="Arial" w:cs="Arial"/>
        </w:rPr>
        <w:t>d in the RFP</w:t>
      </w:r>
      <w:r>
        <w:rPr>
          <w:rFonts w:ascii="Arial" w:hAnsi="Arial" w:cs="Arial"/>
        </w:rPr>
        <w:t xml:space="preserve">.  Funding recommendations from the evaluation team’s review will be prepared for the AAAA Advisory Committee on Aging. The Committee will review the recommendations and will, in turn, make recommendations for funding to the ARDC Board of Directors. The ARDC Board, at its sole discretion, will select final projects.  </w:t>
      </w:r>
    </w:p>
    <w:p w14:paraId="227C9EF0" w14:textId="77777777" w:rsidR="0002646D" w:rsidRDefault="0002646D">
      <w:pPr>
        <w:pStyle w:val="BodyTextIndent"/>
        <w:tabs>
          <w:tab w:val="left" w:pos="0"/>
        </w:tabs>
        <w:ind w:left="0"/>
        <w:rPr>
          <w:color w:val="0000FF"/>
        </w:rPr>
      </w:pPr>
    </w:p>
    <w:p w14:paraId="227C9EF1" w14:textId="77777777" w:rsidR="0002646D" w:rsidRDefault="0002646D">
      <w:pPr>
        <w:pStyle w:val="BodyTextIndent"/>
        <w:tabs>
          <w:tab w:val="left" w:pos="0"/>
        </w:tabs>
        <w:ind w:left="0"/>
        <w:rPr>
          <w:rFonts w:ascii="Arial" w:hAnsi="Arial" w:cs="Arial"/>
        </w:rPr>
      </w:pPr>
      <w:r>
        <w:rPr>
          <w:rFonts w:ascii="Arial" w:hAnsi="Arial" w:cs="Arial"/>
        </w:rPr>
        <w:t xml:space="preserve">Both successful and non-successful applicants will be notified by AAAA. No information shall be made public about applicants until after the agreements are signed. Only information about successful proposals shall be disclosed. Unsuccessful applicants have the right to appeal in accordance with AAAA’s Agency Appeal Process. </w:t>
      </w:r>
    </w:p>
    <w:p w14:paraId="227C9EF2" w14:textId="77777777" w:rsidR="00F9636F" w:rsidRDefault="00F9636F">
      <w:pPr>
        <w:pStyle w:val="BodyTextIndent"/>
        <w:tabs>
          <w:tab w:val="left" w:pos="0"/>
        </w:tabs>
        <w:ind w:left="0"/>
        <w:rPr>
          <w:color w:val="0000FF"/>
        </w:rPr>
      </w:pPr>
    </w:p>
    <w:p w14:paraId="227C9EF3" w14:textId="77777777" w:rsidR="00533723" w:rsidRDefault="00533723">
      <w:pPr>
        <w:pStyle w:val="BodyTextIndent"/>
        <w:tabs>
          <w:tab w:val="left" w:pos="0"/>
        </w:tabs>
        <w:ind w:left="0"/>
        <w:rPr>
          <w:color w:val="0000FF"/>
        </w:rPr>
      </w:pPr>
    </w:p>
    <w:p w14:paraId="227C9EF4" w14:textId="77777777" w:rsidR="004B2F48" w:rsidRDefault="004B2F48">
      <w:pPr>
        <w:pStyle w:val="BodyTextIndent"/>
        <w:tabs>
          <w:tab w:val="left" w:pos="0"/>
        </w:tabs>
        <w:ind w:left="0"/>
        <w:rPr>
          <w:color w:val="0000FF"/>
        </w:rPr>
      </w:pPr>
    </w:p>
    <w:p w14:paraId="227C9EF5" w14:textId="77777777" w:rsidR="0002646D" w:rsidRDefault="0002646D">
      <w:pPr>
        <w:pStyle w:val="BodyTextIndent"/>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EF7" w14:textId="77777777">
        <w:trPr>
          <w:trHeight w:val="89"/>
        </w:trPr>
        <w:tc>
          <w:tcPr>
            <w:tcW w:w="9576" w:type="dxa"/>
            <w:shd w:val="clear" w:color="auto" w:fill="000000"/>
          </w:tcPr>
          <w:p w14:paraId="227C9EF6" w14:textId="77777777" w:rsidR="0002646D" w:rsidRDefault="00D83320" w:rsidP="00D664C4">
            <w:pPr>
              <w:outlineLvl w:val="0"/>
              <w:rPr>
                <w:b/>
                <w:color w:val="FFFFFF"/>
                <w:sz w:val="28"/>
                <w:szCs w:val="28"/>
              </w:rPr>
            </w:pPr>
            <w:r>
              <w:rPr>
                <w:b/>
                <w:color w:val="FFFFFF"/>
                <w:sz w:val="28"/>
                <w:szCs w:val="28"/>
              </w:rPr>
              <w:t>X</w:t>
            </w:r>
            <w:r w:rsidR="0002646D">
              <w:rPr>
                <w:b/>
                <w:color w:val="FFFFFF"/>
                <w:sz w:val="28"/>
                <w:szCs w:val="28"/>
              </w:rPr>
              <w:t>. Appeal Process</w:t>
            </w:r>
          </w:p>
        </w:tc>
      </w:tr>
    </w:tbl>
    <w:p w14:paraId="227C9EF8" w14:textId="77777777" w:rsidR="0002646D" w:rsidRDefault="0002646D">
      <w:pPr>
        <w:pStyle w:val="BodyTextIndent"/>
        <w:ind w:left="0"/>
        <w:rPr>
          <w:rFonts w:ascii="Arial" w:hAnsi="Arial" w:cs="Arial"/>
        </w:rPr>
      </w:pPr>
    </w:p>
    <w:p w14:paraId="227C9EF9" w14:textId="77777777" w:rsidR="0002646D" w:rsidRDefault="0002646D" w:rsidP="00F6518F">
      <w:pPr>
        <w:pStyle w:val="Header"/>
        <w:tabs>
          <w:tab w:val="left" w:pos="720"/>
        </w:tabs>
      </w:pPr>
      <w:r>
        <w:t xml:space="preserve">It is the policy of the AAAA to provide unsuccessful applicants with an opportunity to appeal a funding decision made by the AAAA Advisory Committee on Aging. A hearing before the AAAA Executive Committee will be provided to an applicant upon written request received no later than ten (10) days after receipt of notification of the Advisory Committee’s funding decision. Because all proposals are evaluated on the written materials submitted, appeals must be based only on information provided in the applicant’s written </w:t>
      </w:r>
      <w:proofErr w:type="gramStart"/>
      <w:r>
        <w:t>proposal, and</w:t>
      </w:r>
      <w:proofErr w:type="gramEnd"/>
      <w:r>
        <w:t xml:space="preserve"> may not include additional information about the applicant organization or its project.  </w:t>
      </w:r>
    </w:p>
    <w:p w14:paraId="227C9EFA" w14:textId="77777777" w:rsidR="00F6518F" w:rsidRPr="00F6518F" w:rsidRDefault="00F6518F" w:rsidP="00F6518F">
      <w:pPr>
        <w:pStyle w:val="Header"/>
        <w:tabs>
          <w:tab w:val="left" w:pos="720"/>
        </w:tabs>
      </w:pPr>
    </w:p>
    <w:p w14:paraId="227C9EFB" w14:textId="77777777" w:rsidR="0002646D" w:rsidRDefault="0002646D">
      <w:pPr>
        <w:rPr>
          <w:color w:val="000000"/>
        </w:rPr>
      </w:pPr>
      <w:r>
        <w:rPr>
          <w:color w:val="000000"/>
        </w:rPr>
        <w:t xml:space="preserve">AAAA Hearing </w:t>
      </w:r>
    </w:p>
    <w:p w14:paraId="227C9EFC" w14:textId="77777777" w:rsidR="0002646D" w:rsidRDefault="0002646D">
      <w:pPr>
        <w:pStyle w:val="BodyTextIndent"/>
        <w:tabs>
          <w:tab w:val="left" w:pos="0"/>
        </w:tabs>
        <w:ind w:left="0"/>
        <w:rPr>
          <w:rFonts w:ascii="Arial" w:hAnsi="Arial" w:cs="Arial"/>
          <w:color w:val="000000"/>
        </w:rPr>
      </w:pPr>
      <w:r>
        <w:rPr>
          <w:rFonts w:ascii="Arial" w:hAnsi="Arial" w:cs="Arial"/>
          <w:color w:val="000000"/>
        </w:rPr>
        <w:t xml:space="preserve">An applicant wishing to appeal the AAAA decision must submit their request in writing to AAAA’s Director within ten (10) working days from the receipt date of the notice that their proposal will not be funded. The request should state the reason(s) for the appeal. Upon receipt of the written request for a hearing, the Director will set a date for </w:t>
      </w:r>
      <w:proofErr w:type="gramStart"/>
      <w:r>
        <w:rPr>
          <w:rFonts w:ascii="Arial" w:hAnsi="Arial" w:cs="Arial"/>
          <w:color w:val="000000"/>
        </w:rPr>
        <w:t>a hearing</w:t>
      </w:r>
      <w:proofErr w:type="gramEnd"/>
      <w:r>
        <w:rPr>
          <w:rFonts w:ascii="Arial" w:hAnsi="Arial" w:cs="Arial"/>
          <w:color w:val="000000"/>
        </w:rPr>
        <w:t xml:space="preserve"> with AAAA’s Executive Committee. The hearing will be held within thirty (30) days after receipt of the request. All interested parties will be notified in writing of the date, time and place of the hearing.    </w:t>
      </w:r>
    </w:p>
    <w:p w14:paraId="227C9EFD" w14:textId="77777777" w:rsidR="0002646D" w:rsidRDefault="0002646D">
      <w:pPr>
        <w:pStyle w:val="BodyTextIndent"/>
        <w:tabs>
          <w:tab w:val="left" w:pos="0"/>
        </w:tabs>
        <w:ind w:left="0"/>
        <w:rPr>
          <w:rFonts w:ascii="Arial" w:hAnsi="Arial" w:cs="Arial"/>
          <w:color w:val="000000"/>
        </w:rPr>
      </w:pPr>
    </w:p>
    <w:p w14:paraId="227C9EFE" w14:textId="77777777" w:rsidR="00A26E93" w:rsidRDefault="0002646D">
      <w:pPr>
        <w:rPr>
          <w:color w:val="000000"/>
        </w:rPr>
      </w:pPr>
      <w:r>
        <w:rPr>
          <w:color w:val="000000"/>
        </w:rPr>
        <w:t xml:space="preserve">During the hearing, the applicant should present the reason(s) why they have </w:t>
      </w:r>
      <w:proofErr w:type="gramStart"/>
      <w:r>
        <w:rPr>
          <w:color w:val="000000"/>
        </w:rPr>
        <w:t>appealed</w:t>
      </w:r>
      <w:proofErr w:type="gramEnd"/>
      <w:r>
        <w:rPr>
          <w:color w:val="000000"/>
        </w:rPr>
        <w:t xml:space="preserve"> the Committee’s decision based on relevant information contained in their original proposal, and information about their evaluation scores referenced in the previous section. Upon the conclusion of the hearing, the committee will make its decision and will notify the applicant in writing. The Executive Committee ruling serves as AAAA’s final decision on the matter. The written notice shall include instruction to the applicant </w:t>
      </w:r>
      <w:proofErr w:type="gramStart"/>
      <w:r>
        <w:rPr>
          <w:color w:val="000000"/>
        </w:rPr>
        <w:t>of</w:t>
      </w:r>
      <w:proofErr w:type="gramEnd"/>
      <w:r>
        <w:rPr>
          <w:color w:val="000000"/>
        </w:rPr>
        <w:t xml:space="preserve"> their right to a State Unit Hearing (Minnesota Board on Aging).</w:t>
      </w:r>
    </w:p>
    <w:p w14:paraId="227C9EFF" w14:textId="77777777" w:rsidR="00787BE4" w:rsidRDefault="00787BE4">
      <w:pPr>
        <w:rPr>
          <w:color w:val="000000"/>
        </w:rPr>
      </w:pPr>
    </w:p>
    <w:p w14:paraId="227C9F00" w14:textId="77777777" w:rsidR="0002646D" w:rsidRDefault="0002646D">
      <w:pPr>
        <w:rPr>
          <w:color w:val="000000"/>
        </w:rPr>
      </w:pPr>
      <w:r>
        <w:rPr>
          <w:color w:val="000000"/>
        </w:rPr>
        <w:t>State Unit Hearing – Minnesota Board on Aging (MBA)</w:t>
      </w:r>
    </w:p>
    <w:p w14:paraId="227C9F01" w14:textId="77777777" w:rsidR="0002646D" w:rsidRDefault="0002646D">
      <w:pPr>
        <w:pStyle w:val="BodyTextIndent"/>
        <w:tabs>
          <w:tab w:val="left" w:pos="0"/>
        </w:tabs>
        <w:ind w:left="0"/>
        <w:rPr>
          <w:rFonts w:ascii="Arial" w:hAnsi="Arial" w:cs="Arial"/>
        </w:rPr>
      </w:pPr>
      <w:r>
        <w:rPr>
          <w:rFonts w:ascii="Arial" w:hAnsi="Arial" w:cs="Arial"/>
          <w:color w:val="000000"/>
        </w:rPr>
        <w:t xml:space="preserve">The applicant has the right to request a hearing from the MBA </w:t>
      </w:r>
      <w:proofErr w:type="gramStart"/>
      <w:r>
        <w:rPr>
          <w:rFonts w:ascii="Arial" w:hAnsi="Arial" w:cs="Arial"/>
          <w:color w:val="000000"/>
        </w:rPr>
        <w:t>in the event that</w:t>
      </w:r>
      <w:proofErr w:type="gramEnd"/>
      <w:r>
        <w:rPr>
          <w:rFonts w:ascii="Arial" w:hAnsi="Arial" w:cs="Arial"/>
          <w:color w:val="000000"/>
        </w:rPr>
        <w:t xml:space="preserve"> they are dissatisfied with the AAAA decision. Pursuant to Section 2.15, Provider Hearing Requirements, MBA Operations Manual, the hearing shall consider procedural grounds only and shall not consider issues of merit. The applicant’s request must be in writing and received by MBA within ten (10) working days of </w:t>
      </w:r>
      <w:proofErr w:type="gramStart"/>
      <w:r>
        <w:rPr>
          <w:rFonts w:ascii="Arial" w:hAnsi="Arial" w:cs="Arial"/>
          <w:color w:val="000000"/>
        </w:rPr>
        <w:t>the receipt</w:t>
      </w:r>
      <w:proofErr w:type="gramEnd"/>
      <w:r>
        <w:rPr>
          <w:rFonts w:ascii="Arial" w:hAnsi="Arial" w:cs="Arial"/>
          <w:color w:val="000000"/>
        </w:rPr>
        <w:t xml:space="preserve"> of AAAA’s notice.</w:t>
      </w:r>
    </w:p>
    <w:p w14:paraId="227C9F02" w14:textId="77777777" w:rsidR="00E12007" w:rsidRDefault="00E12007">
      <w:pPr>
        <w:pStyle w:val="BodyTextIndent"/>
        <w:tabs>
          <w:tab w:val="left" w:pos="0"/>
        </w:tabs>
        <w:ind w:left="0"/>
        <w:rPr>
          <w:color w:val="0000FF"/>
        </w:rPr>
      </w:pPr>
    </w:p>
    <w:p w14:paraId="227C9F03" w14:textId="77777777" w:rsidR="00787BE4" w:rsidRDefault="00787BE4">
      <w:pPr>
        <w:pStyle w:val="BodyTextIndent"/>
        <w:tabs>
          <w:tab w:val="left" w:pos="0"/>
        </w:tabs>
        <w:ind w:left="0"/>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F05" w14:textId="77777777">
        <w:trPr>
          <w:trHeight w:val="89"/>
        </w:trPr>
        <w:tc>
          <w:tcPr>
            <w:tcW w:w="9576" w:type="dxa"/>
            <w:shd w:val="clear" w:color="auto" w:fill="000000"/>
          </w:tcPr>
          <w:p w14:paraId="227C9F04" w14:textId="77777777" w:rsidR="0002646D" w:rsidRDefault="008B1FCB">
            <w:pPr>
              <w:outlineLvl w:val="0"/>
              <w:rPr>
                <w:b/>
                <w:color w:val="FFFFFF"/>
                <w:sz w:val="28"/>
                <w:szCs w:val="28"/>
              </w:rPr>
            </w:pPr>
            <w:r>
              <w:rPr>
                <w:b/>
                <w:color w:val="FFFFFF"/>
                <w:sz w:val="28"/>
                <w:szCs w:val="28"/>
              </w:rPr>
              <w:t>X</w:t>
            </w:r>
            <w:r w:rsidR="0002646D">
              <w:rPr>
                <w:b/>
                <w:color w:val="FFFFFF"/>
                <w:sz w:val="28"/>
                <w:szCs w:val="28"/>
              </w:rPr>
              <w:t>I. Proprietary Information</w:t>
            </w:r>
          </w:p>
        </w:tc>
      </w:tr>
    </w:tbl>
    <w:p w14:paraId="227C9F06" w14:textId="77777777" w:rsidR="0002646D" w:rsidRDefault="0002646D">
      <w:pPr>
        <w:pStyle w:val="BodyTextIndent"/>
        <w:ind w:left="0"/>
        <w:rPr>
          <w:rFonts w:ascii="Arial" w:hAnsi="Arial" w:cs="Arial"/>
        </w:rPr>
      </w:pPr>
    </w:p>
    <w:p w14:paraId="227C9F07" w14:textId="77777777" w:rsidR="0090115B" w:rsidRDefault="0002646D" w:rsidP="00A26E93">
      <w:pPr>
        <w:pStyle w:val="BodyTextIndent"/>
        <w:tabs>
          <w:tab w:val="left" w:pos="0"/>
        </w:tabs>
        <w:ind w:left="0"/>
        <w:rPr>
          <w:rFonts w:ascii="Arial" w:hAnsi="Arial" w:cs="Arial"/>
        </w:rPr>
      </w:pPr>
      <w:r>
        <w:rPr>
          <w:rFonts w:ascii="Arial" w:hAnsi="Arial" w:cs="Arial"/>
        </w:rPr>
        <w:t>All materials and information submitted become the property of the AAAA, and the proposals of the selected applicants will be considered public information</w:t>
      </w:r>
      <w:r w:rsidR="00704470">
        <w:rPr>
          <w:rFonts w:ascii="Arial" w:hAnsi="Arial" w:cs="Arial"/>
        </w:rPr>
        <w:t xml:space="preserve"> (per Minnesota Government Data Practices Act, Chapter 13 of the Minnesota Statutes, including </w:t>
      </w:r>
      <w:hyperlink r:id="rId16" w:history="1">
        <w:r w:rsidR="00704470" w:rsidRPr="00E429F2">
          <w:rPr>
            <w:rStyle w:val="Hyperlink"/>
            <w:rFonts w:ascii="Arial" w:hAnsi="Arial" w:cs="Arial"/>
            <w:sz w:val="22"/>
            <w:szCs w:val="22"/>
          </w:rPr>
          <w:t>Section 13.05, Subd. 11</w:t>
        </w:r>
      </w:hyperlink>
      <w:r>
        <w:rPr>
          <w:rFonts w:ascii="Arial" w:hAnsi="Arial" w:cs="Arial"/>
        </w:rPr>
        <w:t xml:space="preserve">, unless specific sections are labeled as proprietary and a bona fide proprietary reason exists for the protection of that specific information.  The entire application will not be considered </w:t>
      </w:r>
      <w:proofErr w:type="gramStart"/>
      <w:r>
        <w:rPr>
          <w:rFonts w:ascii="Arial" w:hAnsi="Arial" w:cs="Arial"/>
        </w:rPr>
        <w:t>proprietary as a whole</w:t>
      </w:r>
      <w:proofErr w:type="gramEnd"/>
      <w:r>
        <w:rPr>
          <w:rFonts w:ascii="Arial" w:hAnsi="Arial" w:cs="Arial"/>
        </w:rPr>
        <w:t xml:space="preserve">.  AAAA will not disclose any material until execution of the </w:t>
      </w:r>
      <w:r w:rsidRPr="00FD2841">
        <w:rPr>
          <w:rFonts w:ascii="Arial" w:hAnsi="Arial" w:cs="Arial"/>
        </w:rPr>
        <w:t>Notification of Grant Award</w:t>
      </w:r>
      <w:r>
        <w:rPr>
          <w:rFonts w:ascii="Arial" w:hAnsi="Arial" w:cs="Arial"/>
        </w:rPr>
        <w:t>, and limits disclosure to the successful proposals or other information required by law</w:t>
      </w:r>
      <w:r w:rsidR="00256227">
        <w:rPr>
          <w:rFonts w:ascii="Arial" w:hAnsi="Arial" w:cs="Arial"/>
        </w:rPr>
        <w:t>.</w:t>
      </w:r>
    </w:p>
    <w:p w14:paraId="227C9F08" w14:textId="77777777" w:rsidR="00256227" w:rsidRDefault="00256227" w:rsidP="00A26E93">
      <w:pPr>
        <w:pStyle w:val="BodyTextIndent"/>
        <w:tabs>
          <w:tab w:val="left" w:pos="0"/>
        </w:tabs>
        <w:ind w:left="0"/>
        <w:rPr>
          <w:rFonts w:ascii="Arial" w:hAnsi="Arial" w:cs="Arial"/>
        </w:rPr>
      </w:pPr>
    </w:p>
    <w:p w14:paraId="227C9F09" w14:textId="77777777" w:rsidR="00533723" w:rsidRDefault="00533723" w:rsidP="00A26E93">
      <w:pPr>
        <w:pStyle w:val="BodyTextIndent"/>
        <w:tabs>
          <w:tab w:val="left" w:pos="0"/>
        </w:tabs>
        <w:ind w:left="0"/>
        <w:rPr>
          <w:rFonts w:ascii="Arial" w:hAnsi="Arial" w:cs="Arial"/>
        </w:rPr>
      </w:pPr>
    </w:p>
    <w:p w14:paraId="227C9F0A" w14:textId="77777777" w:rsidR="0090115B" w:rsidRDefault="0090115B">
      <w:pPr>
        <w:pStyle w:val="BodyTextIndent"/>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02646D" w14:paraId="227C9F0C" w14:textId="77777777">
        <w:trPr>
          <w:trHeight w:val="89"/>
        </w:trPr>
        <w:tc>
          <w:tcPr>
            <w:tcW w:w="9576" w:type="dxa"/>
            <w:shd w:val="clear" w:color="auto" w:fill="000000"/>
          </w:tcPr>
          <w:p w14:paraId="227C9F0B" w14:textId="77777777" w:rsidR="0002646D" w:rsidRDefault="008B1FCB">
            <w:pPr>
              <w:outlineLvl w:val="0"/>
              <w:rPr>
                <w:b/>
                <w:color w:val="FFFFFF"/>
                <w:sz w:val="28"/>
                <w:szCs w:val="28"/>
              </w:rPr>
            </w:pPr>
            <w:r>
              <w:rPr>
                <w:b/>
                <w:color w:val="FFFFFF"/>
                <w:sz w:val="28"/>
                <w:szCs w:val="28"/>
              </w:rPr>
              <w:t>XI</w:t>
            </w:r>
            <w:r w:rsidR="000630CC">
              <w:rPr>
                <w:b/>
                <w:color w:val="FFFFFF"/>
                <w:sz w:val="28"/>
                <w:szCs w:val="28"/>
              </w:rPr>
              <w:t>I</w:t>
            </w:r>
            <w:r w:rsidR="0002646D">
              <w:rPr>
                <w:b/>
                <w:color w:val="FFFFFF"/>
                <w:sz w:val="28"/>
                <w:szCs w:val="28"/>
              </w:rPr>
              <w:t>. Proposal Procedur</w:t>
            </w:r>
            <w:r w:rsidR="000630CC">
              <w:rPr>
                <w:b/>
                <w:color w:val="FFFFFF"/>
                <w:sz w:val="28"/>
                <w:szCs w:val="28"/>
              </w:rPr>
              <w:t>e and</w:t>
            </w:r>
            <w:r w:rsidR="0002646D">
              <w:rPr>
                <w:b/>
                <w:color w:val="FFFFFF"/>
                <w:sz w:val="28"/>
                <w:szCs w:val="28"/>
              </w:rPr>
              <w:t xml:space="preserve"> Timeline</w:t>
            </w:r>
          </w:p>
        </w:tc>
      </w:tr>
    </w:tbl>
    <w:p w14:paraId="227C9F0D" w14:textId="77777777" w:rsidR="0002646D" w:rsidRDefault="0002646D">
      <w:pPr>
        <w:pStyle w:val="BodyTextIndent"/>
        <w:ind w:left="0"/>
        <w:rPr>
          <w:rFonts w:ascii="Arial" w:hAnsi="Arial" w:cs="Arial"/>
        </w:rPr>
      </w:pPr>
    </w:p>
    <w:p w14:paraId="227C9F0E" w14:textId="77777777" w:rsidR="0002646D" w:rsidRDefault="0002646D">
      <w:pPr>
        <w:pStyle w:val="BodyTextIndent"/>
        <w:ind w:left="0"/>
        <w:rPr>
          <w:rFonts w:ascii="Arial" w:hAnsi="Arial" w:cs="Arial"/>
          <w:b/>
          <w:highlight w:val="yellow"/>
        </w:rPr>
      </w:pPr>
      <w:r>
        <w:rPr>
          <w:rFonts w:ascii="Arial" w:hAnsi="Arial" w:cs="Arial"/>
        </w:rPr>
        <w:t xml:space="preserve">Organizations interested in applying for Title III-B Older Americans Act supportive services funding must submit a completed application, using forms and instructions provided by the Arrowhead Area Agency on Aging.  </w:t>
      </w:r>
    </w:p>
    <w:p w14:paraId="227C9F0F" w14:textId="77777777" w:rsidR="0002646D" w:rsidRDefault="0002646D">
      <w:pPr>
        <w:pStyle w:val="BodyTextIndent"/>
        <w:ind w:left="0"/>
        <w:rPr>
          <w:rFonts w:ascii="Arial" w:hAnsi="Arial"/>
          <w:b/>
          <w:highlight w:val="yellow"/>
        </w:rPr>
      </w:pPr>
    </w:p>
    <w:tbl>
      <w:tblPr>
        <w:tblW w:w="0" w:type="auto"/>
        <w:tblBorders>
          <w:insideH w:val="single" w:sz="4" w:space="0" w:color="auto"/>
        </w:tblBorders>
        <w:tblLayout w:type="fixed"/>
        <w:tblLook w:val="00A0" w:firstRow="1" w:lastRow="0" w:firstColumn="1" w:lastColumn="0" w:noHBand="0" w:noVBand="0"/>
      </w:tblPr>
      <w:tblGrid>
        <w:gridCol w:w="6840"/>
        <w:gridCol w:w="2736"/>
      </w:tblGrid>
      <w:tr w:rsidR="00CB0B0F" w14:paraId="227C9F12" w14:textId="77777777" w:rsidTr="00855EA7">
        <w:trPr>
          <w:trHeight w:val="1151"/>
        </w:trPr>
        <w:tc>
          <w:tcPr>
            <w:tcW w:w="6840" w:type="dxa"/>
            <w:tcBorders>
              <w:top w:val="single" w:sz="4" w:space="0" w:color="auto"/>
              <w:left w:val="single" w:sz="4" w:space="0" w:color="auto"/>
              <w:bottom w:val="single" w:sz="4" w:space="0" w:color="auto"/>
              <w:right w:val="single" w:sz="4" w:space="0" w:color="auto"/>
            </w:tcBorders>
          </w:tcPr>
          <w:p w14:paraId="0A44E3EC" w14:textId="77777777" w:rsidR="00CB0B0F" w:rsidRDefault="00CB0B0F" w:rsidP="00CB0B0F">
            <w:pPr>
              <w:pStyle w:val="TableParagraph"/>
              <w:spacing w:line="274" w:lineRule="exact"/>
              <w:rPr>
                <w:sz w:val="24"/>
              </w:rPr>
            </w:pPr>
            <w:r>
              <w:rPr>
                <w:sz w:val="24"/>
              </w:rPr>
              <w:lastRenderedPageBreak/>
              <w:t>Request for Proposals and application packets available on</w:t>
            </w:r>
          </w:p>
          <w:p w14:paraId="0FE87AE0" w14:textId="77777777" w:rsidR="00CB0B0F" w:rsidRDefault="00CB0B0F" w:rsidP="00CB0B0F">
            <w:pPr>
              <w:pStyle w:val="TableParagraph"/>
              <w:spacing w:line="275" w:lineRule="exact"/>
              <w:rPr>
                <w:sz w:val="24"/>
              </w:rPr>
            </w:pPr>
            <w:r>
              <w:rPr>
                <w:sz w:val="24"/>
              </w:rPr>
              <w:t>AAAA’s website at.</w:t>
            </w:r>
          </w:p>
          <w:p w14:paraId="64BEA84F" w14:textId="77777777" w:rsidR="00CB0B0F" w:rsidRDefault="00CB0B0F" w:rsidP="00CB0B0F">
            <w:pPr>
              <w:pStyle w:val="TableParagraph"/>
              <w:spacing w:line="275" w:lineRule="exact"/>
              <w:rPr>
                <w:sz w:val="24"/>
              </w:rPr>
            </w:pPr>
          </w:p>
          <w:p w14:paraId="014BBCBD" w14:textId="77777777" w:rsidR="00CB0B0F" w:rsidRPr="00E8332B" w:rsidRDefault="00CB0B0F" w:rsidP="00CB0B0F">
            <w:pPr>
              <w:pStyle w:val="TableParagraph"/>
              <w:spacing w:line="275" w:lineRule="exact"/>
              <w:rPr>
                <w:b/>
                <w:bCs/>
                <w:sz w:val="24"/>
              </w:rPr>
            </w:pPr>
            <w:r w:rsidRPr="00E8332B">
              <w:rPr>
                <w:b/>
                <w:bCs/>
                <w:sz w:val="24"/>
              </w:rPr>
              <w:t>Apply Here</w:t>
            </w:r>
            <w:r>
              <w:rPr>
                <w:b/>
                <w:bCs/>
                <w:sz w:val="24"/>
              </w:rPr>
              <w:t xml:space="preserve">: </w:t>
            </w:r>
            <w:hyperlink r:id="rId17" w:history="1">
              <w:r w:rsidRPr="0068577F">
                <w:rPr>
                  <w:rStyle w:val="Hyperlink"/>
                </w:rPr>
                <w:t>https://aaaa.us-1.smartsimple.com/s_Login.jsp</w:t>
              </w:r>
            </w:hyperlink>
            <w:r>
              <w:t xml:space="preserve"> </w:t>
            </w:r>
          </w:p>
          <w:p w14:paraId="227C9F10" w14:textId="2E9AF8BB" w:rsidR="00CB0B0F" w:rsidRDefault="00CB0B0F" w:rsidP="00CB0B0F"/>
        </w:tc>
        <w:tc>
          <w:tcPr>
            <w:tcW w:w="2736" w:type="dxa"/>
            <w:tcBorders>
              <w:top w:val="single" w:sz="4" w:space="0" w:color="auto"/>
              <w:left w:val="single" w:sz="4" w:space="0" w:color="auto"/>
              <w:bottom w:val="single" w:sz="4" w:space="0" w:color="auto"/>
              <w:right w:val="single" w:sz="4" w:space="0" w:color="auto"/>
            </w:tcBorders>
          </w:tcPr>
          <w:p w14:paraId="227C9F11" w14:textId="3E930A2B" w:rsidR="00CB0B0F" w:rsidRDefault="00CB0B0F" w:rsidP="00CB0B0F">
            <w:r>
              <w:t xml:space="preserve">June </w:t>
            </w:r>
            <w:r w:rsidR="00427F85">
              <w:t>30</w:t>
            </w:r>
            <w:r>
              <w:t>, 2025</w:t>
            </w:r>
          </w:p>
        </w:tc>
      </w:tr>
      <w:tr w:rsidR="00CB0B0F" w14:paraId="227C9F15" w14:textId="77777777">
        <w:tc>
          <w:tcPr>
            <w:tcW w:w="6840" w:type="dxa"/>
            <w:tcBorders>
              <w:top w:val="single" w:sz="4" w:space="0" w:color="auto"/>
              <w:left w:val="single" w:sz="4" w:space="0" w:color="auto"/>
              <w:bottom w:val="single" w:sz="4" w:space="0" w:color="auto"/>
              <w:right w:val="single" w:sz="4" w:space="0" w:color="auto"/>
            </w:tcBorders>
          </w:tcPr>
          <w:p w14:paraId="227C9F13" w14:textId="618C663D" w:rsidR="00CB0B0F" w:rsidRDefault="00CB0B0F" w:rsidP="00CB0B0F">
            <w:r>
              <w:t xml:space="preserve">Applicants may consult AAAA staff with questions. If you have ideas for project proposals and would like to discuss them further, contact Rebecca Sash, Director of Area Agency on Aging, at </w:t>
            </w:r>
            <w:hyperlink r:id="rId18" w:history="1">
              <w:r w:rsidRPr="0068577F">
                <w:rPr>
                  <w:rStyle w:val="Hyperlink"/>
                </w:rPr>
                <w:t>rsash@ardc.org</w:t>
              </w:r>
            </w:hyperlink>
            <w:r>
              <w:t xml:space="preserve">.  For technical assistance related to completing the application such as service definitions, units of service, budgeting or application instructions, contact Gina Marsalla at </w:t>
            </w:r>
            <w:hyperlink r:id="rId19">
              <w:r>
                <w:rPr>
                  <w:color w:val="0000FF"/>
                  <w:u w:val="single" w:color="0000FF"/>
                </w:rPr>
                <w:t>gmarsalla@ardc.org</w:t>
              </w:r>
            </w:hyperlink>
          </w:p>
        </w:tc>
        <w:tc>
          <w:tcPr>
            <w:tcW w:w="2736" w:type="dxa"/>
            <w:tcBorders>
              <w:top w:val="single" w:sz="4" w:space="0" w:color="auto"/>
              <w:left w:val="single" w:sz="4" w:space="0" w:color="auto"/>
              <w:bottom w:val="single" w:sz="4" w:space="0" w:color="auto"/>
              <w:right w:val="single" w:sz="4" w:space="0" w:color="auto"/>
            </w:tcBorders>
          </w:tcPr>
          <w:p w14:paraId="0F002566" w14:textId="6F455D70" w:rsidR="00CB0B0F" w:rsidRDefault="00CB0B0F" w:rsidP="00CB0B0F">
            <w:pPr>
              <w:pStyle w:val="TableParagraph"/>
              <w:spacing w:before="2"/>
              <w:rPr>
                <w:sz w:val="24"/>
              </w:rPr>
            </w:pPr>
            <w:r>
              <w:rPr>
                <w:sz w:val="24"/>
              </w:rPr>
              <w:t xml:space="preserve">June </w:t>
            </w:r>
            <w:r w:rsidR="00411222">
              <w:rPr>
                <w:sz w:val="24"/>
              </w:rPr>
              <w:t>30</w:t>
            </w:r>
            <w:r>
              <w:rPr>
                <w:sz w:val="24"/>
              </w:rPr>
              <w:t xml:space="preserve">– </w:t>
            </w:r>
            <w:r w:rsidR="003B00DE">
              <w:rPr>
                <w:sz w:val="24"/>
              </w:rPr>
              <w:t>Aug</w:t>
            </w:r>
            <w:r>
              <w:rPr>
                <w:sz w:val="24"/>
              </w:rPr>
              <w:t xml:space="preserve"> </w:t>
            </w:r>
            <w:r w:rsidR="001C6A52">
              <w:rPr>
                <w:sz w:val="24"/>
              </w:rPr>
              <w:t>1</w:t>
            </w:r>
            <w:r>
              <w:rPr>
                <w:sz w:val="24"/>
              </w:rPr>
              <w:t>5,</w:t>
            </w:r>
          </w:p>
          <w:p w14:paraId="227C9F14" w14:textId="13A771E1" w:rsidR="00CB0B0F" w:rsidRDefault="00CB0B0F" w:rsidP="00CB0B0F">
            <w:r>
              <w:t>2025</w:t>
            </w:r>
          </w:p>
        </w:tc>
      </w:tr>
      <w:tr w:rsidR="00CB0B0F" w14:paraId="227C9F18" w14:textId="77777777">
        <w:tc>
          <w:tcPr>
            <w:tcW w:w="6840" w:type="dxa"/>
            <w:tcBorders>
              <w:top w:val="single" w:sz="4" w:space="0" w:color="auto"/>
              <w:left w:val="single" w:sz="4" w:space="0" w:color="auto"/>
              <w:bottom w:val="single" w:sz="4" w:space="0" w:color="auto"/>
              <w:right w:val="single" w:sz="4" w:space="0" w:color="auto"/>
            </w:tcBorders>
          </w:tcPr>
          <w:p w14:paraId="227C9F16" w14:textId="57DC65F7" w:rsidR="00CB0B0F" w:rsidRDefault="00691CE1" w:rsidP="00CB0B0F">
            <w:r>
              <w:t xml:space="preserve">Q&amp;A meeting </w:t>
            </w:r>
            <w:r w:rsidR="00980BA1">
              <w:t xml:space="preserve">on </w:t>
            </w:r>
            <w:hyperlink r:id="rId20" w:history="1">
              <w:r w:rsidR="00980BA1" w:rsidRPr="00980BA1">
                <w:rPr>
                  <w:rStyle w:val="Hyperlink"/>
                </w:rPr>
                <w:t>Microsoft Teams</w:t>
              </w:r>
            </w:hyperlink>
            <w:r w:rsidR="0034246B">
              <w:t xml:space="preserve">                                       </w:t>
            </w:r>
            <w:r w:rsidR="00980BA1">
              <w:t xml:space="preserve"> </w:t>
            </w:r>
            <w:hyperlink r:id="rId21" w:tgtFrame="_blank" w:tooltip="Meeting join link" w:history="1">
              <w:r w:rsidR="008D12F7" w:rsidRPr="0034246B">
                <w:rPr>
                  <w:rStyle w:val="Hyperlink"/>
                  <w:b/>
                  <w:bCs/>
                </w:rPr>
                <w:t>C</w:t>
              </w:r>
              <w:r w:rsidR="0034246B" w:rsidRPr="0034246B">
                <w:rPr>
                  <w:rStyle w:val="Hyperlink"/>
                  <w:b/>
                  <w:bCs/>
                </w:rPr>
                <w:t>l</w:t>
              </w:r>
              <w:r w:rsidR="008D12F7" w:rsidRPr="0034246B">
                <w:rPr>
                  <w:rStyle w:val="Hyperlink"/>
                  <w:b/>
                  <w:bCs/>
                </w:rPr>
                <w:t>ick to</w:t>
              </w:r>
              <w:r w:rsidR="0034246B" w:rsidRPr="0034246B">
                <w:rPr>
                  <w:rStyle w:val="Hyperlink"/>
                  <w:b/>
                  <w:bCs/>
                </w:rPr>
                <w:t xml:space="preserve"> </w:t>
              </w:r>
              <w:r w:rsidR="008D12F7" w:rsidRPr="0034246B">
                <w:rPr>
                  <w:rStyle w:val="Hyperlink"/>
                  <w:b/>
                  <w:bCs/>
                </w:rPr>
                <w:t>Join the meeting now</w:t>
              </w:r>
            </w:hyperlink>
          </w:p>
        </w:tc>
        <w:tc>
          <w:tcPr>
            <w:tcW w:w="2736" w:type="dxa"/>
            <w:tcBorders>
              <w:top w:val="single" w:sz="4" w:space="0" w:color="auto"/>
              <w:left w:val="single" w:sz="4" w:space="0" w:color="auto"/>
              <w:bottom w:val="single" w:sz="4" w:space="0" w:color="auto"/>
              <w:right w:val="single" w:sz="4" w:space="0" w:color="auto"/>
            </w:tcBorders>
          </w:tcPr>
          <w:p w14:paraId="227C9F17" w14:textId="2489F990" w:rsidR="00CB0B0F" w:rsidRDefault="00E356A9" w:rsidP="00CB0B0F">
            <w:r>
              <w:t>July 15</w:t>
            </w:r>
            <w:proofErr w:type="gramStart"/>
            <w:r w:rsidR="00A0645F" w:rsidRPr="00A0645F">
              <w:rPr>
                <w:vertAlign w:val="superscript"/>
              </w:rPr>
              <w:t>th</w:t>
            </w:r>
            <w:r w:rsidR="00C14860">
              <w:rPr>
                <w:vertAlign w:val="superscript"/>
              </w:rPr>
              <w:t xml:space="preserve"> </w:t>
            </w:r>
            <w:r w:rsidR="00FE6046">
              <w:rPr>
                <w:vertAlign w:val="superscript"/>
              </w:rPr>
              <w:t xml:space="preserve"> </w:t>
            </w:r>
            <w:r w:rsidR="00C41DD2">
              <w:t>2025</w:t>
            </w:r>
            <w:proofErr w:type="gramEnd"/>
            <w:r w:rsidR="00C41DD2">
              <w:t xml:space="preserve"> a</w:t>
            </w:r>
            <w:r w:rsidR="00A0645F">
              <w:t>t 11:00am</w:t>
            </w:r>
            <w:r w:rsidR="005E0D70">
              <w:t>-12:00pm</w:t>
            </w:r>
          </w:p>
        </w:tc>
      </w:tr>
      <w:tr w:rsidR="00D51CCC" w14:paraId="227C9F1B" w14:textId="77777777">
        <w:tc>
          <w:tcPr>
            <w:tcW w:w="6840" w:type="dxa"/>
            <w:tcBorders>
              <w:top w:val="single" w:sz="4" w:space="0" w:color="auto"/>
              <w:left w:val="single" w:sz="4" w:space="0" w:color="auto"/>
              <w:bottom w:val="single" w:sz="4" w:space="0" w:color="auto"/>
              <w:right w:val="single" w:sz="4" w:space="0" w:color="auto"/>
            </w:tcBorders>
          </w:tcPr>
          <w:p w14:paraId="227C9F19" w14:textId="61A67C1C" w:rsidR="00D51CCC" w:rsidRDefault="00D51CCC" w:rsidP="00D51CCC">
            <w:r>
              <w:t>Proposals due at AAAA by 4:00 PM CST</w:t>
            </w:r>
          </w:p>
        </w:tc>
        <w:tc>
          <w:tcPr>
            <w:tcW w:w="2736" w:type="dxa"/>
            <w:tcBorders>
              <w:top w:val="single" w:sz="4" w:space="0" w:color="auto"/>
              <w:left w:val="single" w:sz="4" w:space="0" w:color="auto"/>
              <w:bottom w:val="single" w:sz="4" w:space="0" w:color="auto"/>
              <w:right w:val="single" w:sz="4" w:space="0" w:color="auto"/>
            </w:tcBorders>
          </w:tcPr>
          <w:p w14:paraId="227C9F1A" w14:textId="4AF43682" w:rsidR="00D51CCC" w:rsidRDefault="00D51CCC" w:rsidP="00D51CCC">
            <w:r>
              <w:t>August 29, 2025</w:t>
            </w:r>
          </w:p>
        </w:tc>
      </w:tr>
      <w:tr w:rsidR="00D51CCC" w14:paraId="227C9F1E" w14:textId="77777777">
        <w:tc>
          <w:tcPr>
            <w:tcW w:w="6840" w:type="dxa"/>
            <w:tcBorders>
              <w:top w:val="single" w:sz="4" w:space="0" w:color="auto"/>
              <w:left w:val="single" w:sz="4" w:space="0" w:color="auto"/>
              <w:bottom w:val="single" w:sz="4" w:space="0" w:color="auto"/>
              <w:right w:val="single" w:sz="4" w:space="0" w:color="auto"/>
            </w:tcBorders>
          </w:tcPr>
          <w:p w14:paraId="227C9F1C" w14:textId="6C7EFFA6" w:rsidR="00D51CCC" w:rsidRDefault="00D51CCC" w:rsidP="00D51CCC">
            <w:r>
              <w:t>Applicants will be notified of funding decision</w:t>
            </w:r>
          </w:p>
        </w:tc>
        <w:tc>
          <w:tcPr>
            <w:tcW w:w="2736" w:type="dxa"/>
            <w:tcBorders>
              <w:top w:val="single" w:sz="4" w:space="0" w:color="auto"/>
              <w:left w:val="single" w:sz="4" w:space="0" w:color="auto"/>
              <w:bottom w:val="single" w:sz="4" w:space="0" w:color="auto"/>
              <w:right w:val="single" w:sz="4" w:space="0" w:color="auto"/>
            </w:tcBorders>
          </w:tcPr>
          <w:p w14:paraId="227C9F1D" w14:textId="5F227F76" w:rsidR="00D51CCC" w:rsidRDefault="00D51CCC" w:rsidP="00D51CCC">
            <w:r>
              <w:t>November 2025</w:t>
            </w:r>
          </w:p>
        </w:tc>
      </w:tr>
      <w:tr w:rsidR="00D51CCC" w14:paraId="393DF320" w14:textId="77777777">
        <w:tc>
          <w:tcPr>
            <w:tcW w:w="6840" w:type="dxa"/>
            <w:tcBorders>
              <w:top w:val="single" w:sz="4" w:space="0" w:color="auto"/>
              <w:left w:val="single" w:sz="4" w:space="0" w:color="auto"/>
              <w:bottom w:val="single" w:sz="4" w:space="0" w:color="auto"/>
              <w:right w:val="single" w:sz="4" w:space="0" w:color="auto"/>
            </w:tcBorders>
          </w:tcPr>
          <w:p w14:paraId="2C4CC4FE" w14:textId="065E881A" w:rsidR="00D51CCC" w:rsidRDefault="00D51CCC" w:rsidP="00D51CCC">
            <w:r>
              <w:t>Grant Period Begins</w:t>
            </w:r>
          </w:p>
        </w:tc>
        <w:tc>
          <w:tcPr>
            <w:tcW w:w="2736" w:type="dxa"/>
            <w:tcBorders>
              <w:top w:val="single" w:sz="4" w:space="0" w:color="auto"/>
              <w:left w:val="single" w:sz="4" w:space="0" w:color="auto"/>
              <w:bottom w:val="single" w:sz="4" w:space="0" w:color="auto"/>
              <w:right w:val="single" w:sz="4" w:space="0" w:color="auto"/>
            </w:tcBorders>
          </w:tcPr>
          <w:p w14:paraId="182E09E2" w14:textId="7397FF58" w:rsidR="00D51CCC" w:rsidRDefault="00D51CCC" w:rsidP="00D51CCC">
            <w:r>
              <w:t>January 1, 2026</w:t>
            </w:r>
          </w:p>
        </w:tc>
      </w:tr>
    </w:tbl>
    <w:p w14:paraId="227C9F1F" w14:textId="77777777" w:rsidR="002762E0" w:rsidRDefault="002762E0">
      <w:pPr>
        <w:pStyle w:val="BodyTextIndent"/>
        <w:ind w:left="0"/>
      </w:pPr>
    </w:p>
    <w:p w14:paraId="227C9F20" w14:textId="77777777" w:rsidR="0002646D" w:rsidRDefault="0002646D" w:rsidP="00621264"/>
    <w:sectPr w:rsidR="0002646D" w:rsidSect="0090115B">
      <w:headerReference w:type="default" r:id="rId22"/>
      <w:footerReference w:type="even" r:id="rId23"/>
      <w:footerReference w:type="default" r:id="rId24"/>
      <w:headerReference w:type="first" r:id="rId25"/>
      <w:footerReference w:type="first" r:id="rId26"/>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6485" w14:textId="77777777" w:rsidR="00C96202" w:rsidRDefault="00C96202">
      <w:r>
        <w:separator/>
      </w:r>
    </w:p>
  </w:endnote>
  <w:endnote w:type="continuationSeparator" w:id="0">
    <w:p w14:paraId="65789CE7" w14:textId="77777777" w:rsidR="00C96202" w:rsidRDefault="00C96202">
      <w:r>
        <w:continuationSeparator/>
      </w:r>
    </w:p>
  </w:endnote>
  <w:endnote w:type="continuationNotice" w:id="1">
    <w:p w14:paraId="27A4D974" w14:textId="77777777" w:rsidR="00C96202" w:rsidRDefault="00C96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9F2F" w14:textId="77777777" w:rsidR="0002646D" w:rsidRDefault="00026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C9F30" w14:textId="77777777" w:rsidR="0002646D" w:rsidRDefault="000264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9F31" w14:textId="71E9E91A" w:rsidR="0002646D" w:rsidRDefault="231D2CD9">
    <w:pPr>
      <w:pStyle w:val="Footer"/>
      <w:framePr w:wrap="around" w:vAnchor="text" w:hAnchor="margin" w:xAlign="right" w:y="1"/>
      <w:rPr>
        <w:rStyle w:val="PageNumber"/>
        <w:sz w:val="16"/>
        <w:szCs w:val="16"/>
      </w:rPr>
    </w:pPr>
    <w:r w:rsidRPr="231D2CD9">
      <w:rPr>
        <w:rStyle w:val="PageNumber"/>
        <w:sz w:val="16"/>
        <w:szCs w:val="16"/>
      </w:rPr>
      <w:t xml:space="preserve">Page </w:t>
    </w:r>
    <w:r w:rsidR="00F9636F" w:rsidRPr="231D2CD9">
      <w:rPr>
        <w:rStyle w:val="PageNumber"/>
        <w:noProof/>
        <w:sz w:val="16"/>
        <w:szCs w:val="16"/>
      </w:rPr>
      <w:fldChar w:fldCharType="begin"/>
    </w:r>
    <w:r w:rsidR="00F9636F" w:rsidRPr="231D2CD9">
      <w:rPr>
        <w:rStyle w:val="PageNumber"/>
        <w:sz w:val="16"/>
        <w:szCs w:val="16"/>
      </w:rPr>
      <w:instrText xml:space="preserve">PAGE  </w:instrText>
    </w:r>
    <w:r w:rsidR="00F9636F" w:rsidRPr="231D2CD9">
      <w:rPr>
        <w:rStyle w:val="PageNumber"/>
        <w:sz w:val="16"/>
        <w:szCs w:val="16"/>
      </w:rPr>
      <w:fldChar w:fldCharType="separate"/>
    </w:r>
    <w:r w:rsidRPr="231D2CD9">
      <w:rPr>
        <w:rStyle w:val="PageNumber"/>
        <w:noProof/>
        <w:sz w:val="16"/>
        <w:szCs w:val="16"/>
      </w:rPr>
      <w:t>11</w:t>
    </w:r>
    <w:r w:rsidR="00F9636F" w:rsidRPr="231D2CD9">
      <w:rPr>
        <w:rStyle w:val="PageNumber"/>
        <w:noProof/>
        <w:sz w:val="16"/>
        <w:szCs w:val="16"/>
      </w:rPr>
      <w:fldChar w:fldCharType="end"/>
    </w:r>
    <w:r w:rsidRPr="231D2CD9">
      <w:rPr>
        <w:rStyle w:val="PageNumber"/>
        <w:sz w:val="16"/>
        <w:szCs w:val="16"/>
      </w:rPr>
      <w:t xml:space="preserve"> of 1</w:t>
    </w:r>
    <w:r w:rsidR="0033522A">
      <w:rPr>
        <w:rStyle w:val="PageNumber"/>
        <w:sz w:val="16"/>
        <w:szCs w:val="16"/>
      </w:rPr>
      <w:t>1</w:t>
    </w:r>
  </w:p>
  <w:p w14:paraId="227C9F32" w14:textId="483C9A7A" w:rsidR="00BA5B1E" w:rsidRDefault="00E349EC">
    <w:pPr>
      <w:pStyle w:val="Footer"/>
      <w:ind w:right="360"/>
      <w:rPr>
        <w:sz w:val="16"/>
        <w:szCs w:val="16"/>
      </w:rPr>
    </w:pPr>
    <w:r>
      <w:rPr>
        <w:sz w:val="16"/>
        <w:szCs w:val="16"/>
      </w:rPr>
      <w:t>ARDC/</w:t>
    </w:r>
    <w:r w:rsidR="0002646D">
      <w:rPr>
        <w:sz w:val="16"/>
        <w:szCs w:val="16"/>
      </w:rPr>
      <w:t>Arr</w:t>
    </w:r>
    <w:r w:rsidR="007F4060">
      <w:rPr>
        <w:sz w:val="16"/>
        <w:szCs w:val="16"/>
      </w:rPr>
      <w:t xml:space="preserve">owhead Area Agency on Aging RFP </w:t>
    </w:r>
    <w:r w:rsidR="0002646D">
      <w:rPr>
        <w:sz w:val="16"/>
        <w:szCs w:val="16"/>
      </w:rPr>
      <w:t xml:space="preserve">for </w:t>
    </w:r>
    <w:r w:rsidR="00411ED5">
      <w:rPr>
        <w:sz w:val="16"/>
        <w:szCs w:val="16"/>
      </w:rPr>
      <w:t>20</w:t>
    </w:r>
    <w:r w:rsidR="00BA5B1E">
      <w:rPr>
        <w:sz w:val="16"/>
        <w:szCs w:val="16"/>
      </w:rPr>
      <w:t>2</w:t>
    </w:r>
    <w:r w:rsidR="0099467E">
      <w:rPr>
        <w:sz w:val="16"/>
        <w:szCs w:val="16"/>
      </w:rPr>
      <w:t>6</w:t>
    </w:r>
    <w:r w:rsidR="00BA5B1E">
      <w:rPr>
        <w:sz w:val="16"/>
        <w:szCs w:val="16"/>
      </w:rPr>
      <w:t xml:space="preserve"> </w:t>
    </w:r>
    <w:r w:rsidR="0002646D">
      <w:rPr>
        <w:sz w:val="16"/>
        <w:szCs w:val="16"/>
      </w:rPr>
      <w:t>Title III-B Supportive Services Funding</w:t>
    </w:r>
    <w:r w:rsidR="00411ED5">
      <w:rPr>
        <w:sz w:val="16"/>
        <w:szCs w:val="16"/>
      </w:rPr>
      <w:t xml:space="preserve">, </w:t>
    </w:r>
    <w:r w:rsidR="0099467E">
      <w:rPr>
        <w:sz w:val="16"/>
        <w:szCs w:val="16"/>
      </w:rPr>
      <w:t>May</w:t>
    </w:r>
    <w:r w:rsidR="00411ED5">
      <w:rPr>
        <w:sz w:val="16"/>
        <w:szCs w:val="16"/>
      </w:rPr>
      <w:t xml:space="preserve"> 20</w:t>
    </w:r>
    <w:r w:rsidR="00B271D0">
      <w:rPr>
        <w:sz w:val="16"/>
        <w:szCs w:val="16"/>
      </w:rPr>
      <w:t>2</w:t>
    </w:r>
    <w:r w:rsidR="0099467E">
      <w:rPr>
        <w:sz w:val="16"/>
        <w:szCs w:val="16"/>
      </w:rPr>
      <w:t>5</w:t>
    </w:r>
  </w:p>
  <w:p w14:paraId="227C9F33" w14:textId="77777777" w:rsidR="0002646D" w:rsidRDefault="0002646D">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B92EA18" w14:paraId="2051F0EA" w14:textId="77777777" w:rsidTr="0B92EA18">
      <w:trPr>
        <w:trHeight w:val="300"/>
      </w:trPr>
      <w:tc>
        <w:tcPr>
          <w:tcW w:w="3310" w:type="dxa"/>
        </w:tcPr>
        <w:p w14:paraId="54CFC675" w14:textId="4C9B1670" w:rsidR="0B92EA18" w:rsidRDefault="0B92EA18" w:rsidP="0B92EA18">
          <w:pPr>
            <w:pStyle w:val="Header"/>
            <w:ind w:left="-115"/>
          </w:pPr>
        </w:p>
      </w:tc>
      <w:tc>
        <w:tcPr>
          <w:tcW w:w="3310" w:type="dxa"/>
        </w:tcPr>
        <w:p w14:paraId="6673635B" w14:textId="29F09891" w:rsidR="0B92EA18" w:rsidRDefault="0B92EA18" w:rsidP="0B92EA18">
          <w:pPr>
            <w:pStyle w:val="Header"/>
            <w:jc w:val="center"/>
          </w:pPr>
        </w:p>
      </w:tc>
      <w:tc>
        <w:tcPr>
          <w:tcW w:w="3310" w:type="dxa"/>
        </w:tcPr>
        <w:p w14:paraId="3FB2B87D" w14:textId="6A3490FB" w:rsidR="0B92EA18" w:rsidRDefault="0B92EA18" w:rsidP="0B92EA18">
          <w:pPr>
            <w:pStyle w:val="Header"/>
            <w:ind w:right="-115"/>
            <w:jc w:val="right"/>
          </w:pPr>
        </w:p>
      </w:tc>
    </w:tr>
  </w:tbl>
  <w:p w14:paraId="072C2F00" w14:textId="0FACC135" w:rsidR="0B92EA18" w:rsidRDefault="0B92EA18" w:rsidP="0B92E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06E5" w14:textId="77777777" w:rsidR="00C96202" w:rsidRDefault="00C96202">
      <w:r>
        <w:separator/>
      </w:r>
    </w:p>
  </w:footnote>
  <w:footnote w:type="continuationSeparator" w:id="0">
    <w:p w14:paraId="4390E368" w14:textId="77777777" w:rsidR="00C96202" w:rsidRDefault="00C96202">
      <w:r>
        <w:continuationSeparator/>
      </w:r>
    </w:p>
  </w:footnote>
  <w:footnote w:type="continuationNotice" w:id="1">
    <w:p w14:paraId="0F2C6959" w14:textId="77777777" w:rsidR="00C96202" w:rsidRDefault="00C96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B92EA18" w14:paraId="38F7B2A4" w14:textId="77777777" w:rsidTr="0B92EA18">
      <w:trPr>
        <w:trHeight w:val="300"/>
      </w:trPr>
      <w:tc>
        <w:tcPr>
          <w:tcW w:w="3310" w:type="dxa"/>
        </w:tcPr>
        <w:p w14:paraId="6E9995A1" w14:textId="3D3D5F3D" w:rsidR="0B92EA18" w:rsidRDefault="0B92EA18" w:rsidP="0B92EA18">
          <w:pPr>
            <w:pStyle w:val="Header"/>
            <w:ind w:left="-115"/>
          </w:pPr>
        </w:p>
      </w:tc>
      <w:tc>
        <w:tcPr>
          <w:tcW w:w="3310" w:type="dxa"/>
        </w:tcPr>
        <w:p w14:paraId="6DE8A32C" w14:textId="6D97268D" w:rsidR="0B92EA18" w:rsidRDefault="0B92EA18" w:rsidP="0B92EA18">
          <w:pPr>
            <w:pStyle w:val="Header"/>
            <w:jc w:val="center"/>
          </w:pPr>
        </w:p>
      </w:tc>
      <w:tc>
        <w:tcPr>
          <w:tcW w:w="3310" w:type="dxa"/>
        </w:tcPr>
        <w:p w14:paraId="10B49C03" w14:textId="64C59110" w:rsidR="0B92EA18" w:rsidRDefault="0B92EA18" w:rsidP="0B92EA18">
          <w:pPr>
            <w:pStyle w:val="Header"/>
            <w:ind w:right="-115"/>
            <w:jc w:val="right"/>
          </w:pPr>
        </w:p>
      </w:tc>
    </w:tr>
  </w:tbl>
  <w:p w14:paraId="5C9B605D" w14:textId="4D7D370F" w:rsidR="0B92EA18" w:rsidRDefault="0B92EA18" w:rsidP="0B92E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0B92EA18" w14:paraId="4148408B" w14:textId="77777777" w:rsidTr="0B92EA18">
      <w:trPr>
        <w:trHeight w:val="300"/>
      </w:trPr>
      <w:tc>
        <w:tcPr>
          <w:tcW w:w="3310" w:type="dxa"/>
        </w:tcPr>
        <w:p w14:paraId="388B0761" w14:textId="3810EC84" w:rsidR="0B92EA18" w:rsidRDefault="0B92EA18" w:rsidP="0B92EA18">
          <w:pPr>
            <w:pStyle w:val="Header"/>
            <w:ind w:left="-115"/>
          </w:pPr>
        </w:p>
      </w:tc>
      <w:tc>
        <w:tcPr>
          <w:tcW w:w="3310" w:type="dxa"/>
        </w:tcPr>
        <w:p w14:paraId="3BEFEBAB" w14:textId="2122F199" w:rsidR="0B92EA18" w:rsidRDefault="0B92EA18" w:rsidP="0B92EA18">
          <w:pPr>
            <w:pStyle w:val="Header"/>
            <w:jc w:val="center"/>
          </w:pPr>
        </w:p>
      </w:tc>
      <w:tc>
        <w:tcPr>
          <w:tcW w:w="3310" w:type="dxa"/>
        </w:tcPr>
        <w:p w14:paraId="7368D028" w14:textId="191AD959" w:rsidR="0B92EA18" w:rsidRDefault="0B92EA18" w:rsidP="0B92EA18">
          <w:pPr>
            <w:pStyle w:val="Header"/>
            <w:ind w:right="-115"/>
            <w:jc w:val="right"/>
          </w:pPr>
        </w:p>
      </w:tc>
    </w:tr>
  </w:tbl>
  <w:p w14:paraId="39D0CBD3" w14:textId="1B0FC8D8" w:rsidR="0B92EA18" w:rsidRDefault="0B92EA18" w:rsidP="0B92E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6A8"/>
    <w:multiLevelType w:val="hybridMultilevel"/>
    <w:tmpl w:val="508C74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84916"/>
    <w:multiLevelType w:val="hybridMultilevel"/>
    <w:tmpl w:val="790664D8"/>
    <w:lvl w:ilvl="0" w:tplc="A77E3CDC">
      <w:numFmt w:val="decimal"/>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9B779B"/>
    <w:multiLevelType w:val="multilevel"/>
    <w:tmpl w:val="9B741F5C"/>
    <w:lvl w:ilvl="0">
      <w:numFmt w:val="decimal"/>
      <w:lvlText w:val="%1"/>
      <w:lvlJc w:val="left"/>
      <w:pPr>
        <w:tabs>
          <w:tab w:val="num" w:pos="360"/>
        </w:tabs>
        <w:ind w:left="360" w:hanging="360"/>
      </w:pPr>
      <w:rPr>
        <w:rFonts w:hint="default"/>
        <w:i w:val="0"/>
        <w:sz w:val="24"/>
      </w:rPr>
    </w:lvl>
    <w:lvl w:ilvl="1">
      <w:start w:val="1"/>
      <w:numFmt w:val="decimal"/>
      <w:lvlText w:val="%1-%2"/>
      <w:lvlJc w:val="left"/>
      <w:pPr>
        <w:tabs>
          <w:tab w:val="num" w:pos="1080"/>
        </w:tabs>
        <w:ind w:left="1080" w:hanging="360"/>
      </w:pPr>
      <w:rPr>
        <w:rFonts w:hint="default"/>
        <w:i w:val="0"/>
        <w:sz w:val="24"/>
      </w:rPr>
    </w:lvl>
    <w:lvl w:ilvl="2">
      <w:start w:val="1"/>
      <w:numFmt w:val="decimal"/>
      <w:lvlText w:val="%1-%2.%3"/>
      <w:lvlJc w:val="left"/>
      <w:pPr>
        <w:tabs>
          <w:tab w:val="num" w:pos="2160"/>
        </w:tabs>
        <w:ind w:left="2160" w:hanging="720"/>
      </w:pPr>
      <w:rPr>
        <w:rFonts w:hint="default"/>
        <w:i w:val="0"/>
        <w:sz w:val="24"/>
      </w:rPr>
    </w:lvl>
    <w:lvl w:ilvl="3">
      <w:start w:val="1"/>
      <w:numFmt w:val="decimal"/>
      <w:lvlText w:val="%1-%2.%3.%4"/>
      <w:lvlJc w:val="left"/>
      <w:pPr>
        <w:tabs>
          <w:tab w:val="num" w:pos="2880"/>
        </w:tabs>
        <w:ind w:left="2880" w:hanging="720"/>
      </w:pPr>
      <w:rPr>
        <w:rFonts w:hint="default"/>
        <w:i w:val="0"/>
        <w:sz w:val="24"/>
      </w:rPr>
    </w:lvl>
    <w:lvl w:ilvl="4">
      <w:start w:val="1"/>
      <w:numFmt w:val="decimal"/>
      <w:lvlText w:val="%1-%2.%3.%4.%5"/>
      <w:lvlJc w:val="left"/>
      <w:pPr>
        <w:tabs>
          <w:tab w:val="num" w:pos="3960"/>
        </w:tabs>
        <w:ind w:left="3960" w:hanging="1080"/>
      </w:pPr>
      <w:rPr>
        <w:rFonts w:hint="default"/>
        <w:i w:val="0"/>
        <w:sz w:val="24"/>
      </w:rPr>
    </w:lvl>
    <w:lvl w:ilvl="5">
      <w:start w:val="1"/>
      <w:numFmt w:val="decimal"/>
      <w:lvlText w:val="%1-%2.%3.%4.%5.%6"/>
      <w:lvlJc w:val="left"/>
      <w:pPr>
        <w:tabs>
          <w:tab w:val="num" w:pos="4680"/>
        </w:tabs>
        <w:ind w:left="4680" w:hanging="1080"/>
      </w:pPr>
      <w:rPr>
        <w:rFonts w:hint="default"/>
        <w:i w:val="0"/>
        <w:sz w:val="24"/>
      </w:rPr>
    </w:lvl>
    <w:lvl w:ilvl="6">
      <w:start w:val="1"/>
      <w:numFmt w:val="decimal"/>
      <w:lvlText w:val="%1-%2.%3.%4.%5.%6.%7"/>
      <w:lvlJc w:val="left"/>
      <w:pPr>
        <w:tabs>
          <w:tab w:val="num" w:pos="5760"/>
        </w:tabs>
        <w:ind w:left="5760" w:hanging="1440"/>
      </w:pPr>
      <w:rPr>
        <w:rFonts w:hint="default"/>
        <w:i w:val="0"/>
        <w:sz w:val="24"/>
      </w:rPr>
    </w:lvl>
    <w:lvl w:ilvl="7">
      <w:start w:val="1"/>
      <w:numFmt w:val="decimal"/>
      <w:lvlText w:val="%1-%2.%3.%4.%5.%6.%7.%8"/>
      <w:lvlJc w:val="left"/>
      <w:pPr>
        <w:tabs>
          <w:tab w:val="num" w:pos="6480"/>
        </w:tabs>
        <w:ind w:left="6480" w:hanging="1440"/>
      </w:pPr>
      <w:rPr>
        <w:rFonts w:hint="default"/>
        <w:i w:val="0"/>
        <w:sz w:val="24"/>
      </w:rPr>
    </w:lvl>
    <w:lvl w:ilvl="8">
      <w:start w:val="1"/>
      <w:numFmt w:val="decimal"/>
      <w:lvlText w:val="%1-%2.%3.%4.%5.%6.%7.%8.%9"/>
      <w:lvlJc w:val="left"/>
      <w:pPr>
        <w:tabs>
          <w:tab w:val="num" w:pos="7560"/>
        </w:tabs>
        <w:ind w:left="7560" w:hanging="1800"/>
      </w:pPr>
      <w:rPr>
        <w:rFonts w:hint="default"/>
        <w:i w:val="0"/>
        <w:sz w:val="24"/>
      </w:rPr>
    </w:lvl>
  </w:abstractNum>
  <w:abstractNum w:abstractNumId="3" w15:restartNumberingAfterBreak="0">
    <w:nsid w:val="13002BF2"/>
    <w:multiLevelType w:val="hybridMultilevel"/>
    <w:tmpl w:val="7B387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CA6894"/>
    <w:multiLevelType w:val="hybridMultilevel"/>
    <w:tmpl w:val="67DCEF2E"/>
    <w:lvl w:ilvl="0" w:tplc="3F2497A6">
      <w:start w:val="4"/>
      <w:numFmt w:val="decimal"/>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26794"/>
    <w:multiLevelType w:val="hybridMultilevel"/>
    <w:tmpl w:val="F02694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B378F5"/>
    <w:multiLevelType w:val="multilevel"/>
    <w:tmpl w:val="39302DC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13691B"/>
    <w:multiLevelType w:val="hybridMultilevel"/>
    <w:tmpl w:val="1A0A3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EE5CA4"/>
    <w:multiLevelType w:val="hybridMultilevel"/>
    <w:tmpl w:val="C644AB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9F25BAC"/>
    <w:multiLevelType w:val="multilevel"/>
    <w:tmpl w:val="790664D8"/>
    <w:lvl w:ilvl="0">
      <w:numFmt w:val="decimal"/>
      <w:lvlText w:val="%1"/>
      <w:lvlJc w:val="left"/>
      <w:pPr>
        <w:tabs>
          <w:tab w:val="num" w:pos="1440"/>
        </w:tabs>
        <w:ind w:left="1440" w:hanging="720"/>
      </w:pPr>
      <w:rPr>
        <w:rFonts w:hint="default"/>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E151D3E"/>
    <w:multiLevelType w:val="hybridMultilevel"/>
    <w:tmpl w:val="09CAE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A763C"/>
    <w:multiLevelType w:val="hybridMultilevel"/>
    <w:tmpl w:val="30AED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B2341"/>
    <w:multiLevelType w:val="hybridMultilevel"/>
    <w:tmpl w:val="4D3A1B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06555E"/>
    <w:multiLevelType w:val="hybridMultilevel"/>
    <w:tmpl w:val="740A27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67613F"/>
    <w:multiLevelType w:val="hybridMultilevel"/>
    <w:tmpl w:val="15BC1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430E41"/>
    <w:multiLevelType w:val="hybridMultilevel"/>
    <w:tmpl w:val="FF54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F3733"/>
    <w:multiLevelType w:val="hybridMultilevel"/>
    <w:tmpl w:val="27D231EC"/>
    <w:lvl w:ilvl="0" w:tplc="F6C0D4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835DD"/>
    <w:multiLevelType w:val="hybridMultilevel"/>
    <w:tmpl w:val="22100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A7244"/>
    <w:multiLevelType w:val="multilevel"/>
    <w:tmpl w:val="EBE66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0383F"/>
    <w:multiLevelType w:val="multilevel"/>
    <w:tmpl w:val="D0C24A2C"/>
    <w:lvl w:ilvl="0">
      <w:start w:val="2"/>
      <w:numFmt w:val="decimal"/>
      <w:lvlText w:val="%1"/>
      <w:lvlJc w:val="left"/>
      <w:pPr>
        <w:tabs>
          <w:tab w:val="num" w:pos="360"/>
        </w:tabs>
        <w:ind w:left="360" w:hanging="360"/>
      </w:pPr>
      <w:rPr>
        <w:rFonts w:hint="default"/>
        <w:i w:val="0"/>
        <w:sz w:val="24"/>
      </w:rPr>
    </w:lvl>
    <w:lvl w:ilvl="1">
      <w:start w:val="3"/>
      <w:numFmt w:val="decimal"/>
      <w:lvlText w:val="1-%2"/>
      <w:lvlJc w:val="left"/>
      <w:pPr>
        <w:tabs>
          <w:tab w:val="num" w:pos="1080"/>
        </w:tabs>
        <w:ind w:left="1080" w:hanging="360"/>
      </w:pPr>
      <w:rPr>
        <w:rFonts w:hint="default"/>
        <w:i w:val="0"/>
        <w:sz w:val="24"/>
      </w:rPr>
    </w:lvl>
    <w:lvl w:ilvl="2">
      <w:start w:val="1"/>
      <w:numFmt w:val="decimal"/>
      <w:lvlText w:val="%1-%2.%3"/>
      <w:lvlJc w:val="left"/>
      <w:pPr>
        <w:tabs>
          <w:tab w:val="num" w:pos="2160"/>
        </w:tabs>
        <w:ind w:left="2160" w:hanging="720"/>
      </w:pPr>
      <w:rPr>
        <w:rFonts w:hint="default"/>
        <w:i w:val="0"/>
        <w:sz w:val="24"/>
      </w:rPr>
    </w:lvl>
    <w:lvl w:ilvl="3">
      <w:start w:val="1"/>
      <w:numFmt w:val="decimal"/>
      <w:lvlText w:val="%1-%2.%3.%4"/>
      <w:lvlJc w:val="left"/>
      <w:pPr>
        <w:tabs>
          <w:tab w:val="num" w:pos="2880"/>
        </w:tabs>
        <w:ind w:left="2880" w:hanging="720"/>
      </w:pPr>
      <w:rPr>
        <w:rFonts w:hint="default"/>
        <w:i w:val="0"/>
        <w:sz w:val="24"/>
      </w:rPr>
    </w:lvl>
    <w:lvl w:ilvl="4">
      <w:start w:val="1"/>
      <w:numFmt w:val="decimal"/>
      <w:lvlText w:val="%1-%2.%3.%4.%5"/>
      <w:lvlJc w:val="left"/>
      <w:pPr>
        <w:tabs>
          <w:tab w:val="num" w:pos="3960"/>
        </w:tabs>
        <w:ind w:left="3960" w:hanging="1080"/>
      </w:pPr>
      <w:rPr>
        <w:rFonts w:hint="default"/>
        <w:i w:val="0"/>
        <w:sz w:val="24"/>
      </w:rPr>
    </w:lvl>
    <w:lvl w:ilvl="5">
      <w:start w:val="1"/>
      <w:numFmt w:val="decimal"/>
      <w:lvlText w:val="%1-%2.%3.%4.%5.%6"/>
      <w:lvlJc w:val="left"/>
      <w:pPr>
        <w:tabs>
          <w:tab w:val="num" w:pos="4680"/>
        </w:tabs>
        <w:ind w:left="4680" w:hanging="1080"/>
      </w:pPr>
      <w:rPr>
        <w:rFonts w:hint="default"/>
        <w:i w:val="0"/>
        <w:sz w:val="24"/>
      </w:rPr>
    </w:lvl>
    <w:lvl w:ilvl="6">
      <w:start w:val="1"/>
      <w:numFmt w:val="decimal"/>
      <w:lvlText w:val="%1-%2.%3.%4.%5.%6.%7"/>
      <w:lvlJc w:val="left"/>
      <w:pPr>
        <w:tabs>
          <w:tab w:val="num" w:pos="5760"/>
        </w:tabs>
        <w:ind w:left="5760" w:hanging="1440"/>
      </w:pPr>
      <w:rPr>
        <w:rFonts w:hint="default"/>
        <w:i w:val="0"/>
        <w:sz w:val="24"/>
      </w:rPr>
    </w:lvl>
    <w:lvl w:ilvl="7">
      <w:start w:val="1"/>
      <w:numFmt w:val="decimal"/>
      <w:lvlText w:val="%1-%2.%3.%4.%5.%6.%7.%8"/>
      <w:lvlJc w:val="left"/>
      <w:pPr>
        <w:tabs>
          <w:tab w:val="num" w:pos="6480"/>
        </w:tabs>
        <w:ind w:left="6480" w:hanging="1440"/>
      </w:pPr>
      <w:rPr>
        <w:rFonts w:hint="default"/>
        <w:i w:val="0"/>
        <w:sz w:val="24"/>
      </w:rPr>
    </w:lvl>
    <w:lvl w:ilvl="8">
      <w:start w:val="1"/>
      <w:numFmt w:val="decimal"/>
      <w:lvlText w:val="%1-%2.%3.%4.%5.%6.%7.%8.%9"/>
      <w:lvlJc w:val="left"/>
      <w:pPr>
        <w:tabs>
          <w:tab w:val="num" w:pos="7560"/>
        </w:tabs>
        <w:ind w:left="7560" w:hanging="1800"/>
      </w:pPr>
      <w:rPr>
        <w:rFonts w:hint="default"/>
        <w:i w:val="0"/>
        <w:sz w:val="24"/>
      </w:rPr>
    </w:lvl>
  </w:abstractNum>
  <w:abstractNum w:abstractNumId="20" w15:restartNumberingAfterBreak="0">
    <w:nsid w:val="49AE4A6E"/>
    <w:multiLevelType w:val="hybridMultilevel"/>
    <w:tmpl w:val="58DEC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B5F40"/>
    <w:multiLevelType w:val="hybridMultilevel"/>
    <w:tmpl w:val="9DD2E830"/>
    <w:lvl w:ilvl="0" w:tplc="04090005">
      <w:start w:val="1"/>
      <w:numFmt w:val="bullet"/>
      <w:lvlText w:val=""/>
      <w:lvlJc w:val="left"/>
      <w:pPr>
        <w:tabs>
          <w:tab w:val="num" w:pos="720"/>
        </w:tabs>
        <w:ind w:left="72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AC39B2"/>
    <w:multiLevelType w:val="hybridMultilevel"/>
    <w:tmpl w:val="150606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CD97515"/>
    <w:multiLevelType w:val="hybridMultilevel"/>
    <w:tmpl w:val="014AD2AE"/>
    <w:lvl w:ilvl="0" w:tplc="7A06DC28">
      <w:start w:val="2"/>
      <w:numFmt w:val="decimal"/>
      <w:lvlText w:val="%1"/>
      <w:lvlJc w:val="left"/>
      <w:pPr>
        <w:tabs>
          <w:tab w:val="num" w:pos="1440"/>
        </w:tabs>
        <w:ind w:left="144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C3D0B"/>
    <w:multiLevelType w:val="hybridMultilevel"/>
    <w:tmpl w:val="FE8A7B52"/>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8265F"/>
    <w:multiLevelType w:val="hybridMultilevel"/>
    <w:tmpl w:val="7812B8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D45E12"/>
    <w:multiLevelType w:val="hybridMultilevel"/>
    <w:tmpl w:val="62388490"/>
    <w:lvl w:ilvl="0" w:tplc="C8CE179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CB1143"/>
    <w:multiLevelType w:val="hybridMultilevel"/>
    <w:tmpl w:val="FA0E9B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F7463E"/>
    <w:multiLevelType w:val="hybridMultilevel"/>
    <w:tmpl w:val="7D246084"/>
    <w:lvl w:ilvl="0" w:tplc="9C2A87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882ADD"/>
    <w:multiLevelType w:val="hybridMultilevel"/>
    <w:tmpl w:val="3D10E3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015B65"/>
    <w:multiLevelType w:val="hybridMultilevel"/>
    <w:tmpl w:val="E1669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D56564"/>
    <w:multiLevelType w:val="hybridMultilevel"/>
    <w:tmpl w:val="7D246084"/>
    <w:lvl w:ilvl="0" w:tplc="9C2A87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4A42CE"/>
    <w:multiLevelType w:val="hybridMultilevel"/>
    <w:tmpl w:val="F11C85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EE2283D"/>
    <w:multiLevelType w:val="multilevel"/>
    <w:tmpl w:val="24C4C9AA"/>
    <w:lvl w:ilvl="0">
      <w:start w:val="2"/>
      <w:numFmt w:val="decimal"/>
      <w:lvlText w:val="%1"/>
      <w:lvlJc w:val="left"/>
      <w:pPr>
        <w:tabs>
          <w:tab w:val="num" w:pos="360"/>
        </w:tabs>
        <w:ind w:left="360" w:hanging="360"/>
      </w:pPr>
      <w:rPr>
        <w:rFonts w:hint="default"/>
        <w:i w:val="0"/>
        <w:sz w:val="24"/>
      </w:rPr>
    </w:lvl>
    <w:lvl w:ilvl="1">
      <w:start w:val="3"/>
      <w:numFmt w:val="decimal"/>
      <w:lvlText w:val="%1-%2"/>
      <w:lvlJc w:val="left"/>
      <w:pPr>
        <w:tabs>
          <w:tab w:val="num" w:pos="1080"/>
        </w:tabs>
        <w:ind w:left="1080" w:hanging="360"/>
      </w:pPr>
      <w:rPr>
        <w:rFonts w:hint="default"/>
        <w:i w:val="0"/>
        <w:sz w:val="24"/>
      </w:rPr>
    </w:lvl>
    <w:lvl w:ilvl="2">
      <w:start w:val="1"/>
      <w:numFmt w:val="decimal"/>
      <w:lvlText w:val="%1-%2.%3"/>
      <w:lvlJc w:val="left"/>
      <w:pPr>
        <w:tabs>
          <w:tab w:val="num" w:pos="2160"/>
        </w:tabs>
        <w:ind w:left="2160" w:hanging="720"/>
      </w:pPr>
      <w:rPr>
        <w:rFonts w:hint="default"/>
        <w:i w:val="0"/>
        <w:sz w:val="24"/>
      </w:rPr>
    </w:lvl>
    <w:lvl w:ilvl="3">
      <w:start w:val="1"/>
      <w:numFmt w:val="decimal"/>
      <w:lvlText w:val="%1-%2.%3.%4"/>
      <w:lvlJc w:val="left"/>
      <w:pPr>
        <w:tabs>
          <w:tab w:val="num" w:pos="2880"/>
        </w:tabs>
        <w:ind w:left="2880" w:hanging="720"/>
      </w:pPr>
      <w:rPr>
        <w:rFonts w:hint="default"/>
        <w:i w:val="0"/>
        <w:sz w:val="24"/>
      </w:rPr>
    </w:lvl>
    <w:lvl w:ilvl="4">
      <w:start w:val="1"/>
      <w:numFmt w:val="decimal"/>
      <w:lvlText w:val="%1-%2.%3.%4.%5"/>
      <w:lvlJc w:val="left"/>
      <w:pPr>
        <w:tabs>
          <w:tab w:val="num" w:pos="3960"/>
        </w:tabs>
        <w:ind w:left="3960" w:hanging="1080"/>
      </w:pPr>
      <w:rPr>
        <w:rFonts w:hint="default"/>
        <w:i w:val="0"/>
        <w:sz w:val="24"/>
      </w:rPr>
    </w:lvl>
    <w:lvl w:ilvl="5">
      <w:start w:val="1"/>
      <w:numFmt w:val="decimal"/>
      <w:lvlText w:val="%1-%2.%3.%4.%5.%6"/>
      <w:lvlJc w:val="left"/>
      <w:pPr>
        <w:tabs>
          <w:tab w:val="num" w:pos="4680"/>
        </w:tabs>
        <w:ind w:left="4680" w:hanging="1080"/>
      </w:pPr>
      <w:rPr>
        <w:rFonts w:hint="default"/>
        <w:i w:val="0"/>
        <w:sz w:val="24"/>
      </w:rPr>
    </w:lvl>
    <w:lvl w:ilvl="6">
      <w:start w:val="1"/>
      <w:numFmt w:val="decimal"/>
      <w:lvlText w:val="%1-%2.%3.%4.%5.%6.%7"/>
      <w:lvlJc w:val="left"/>
      <w:pPr>
        <w:tabs>
          <w:tab w:val="num" w:pos="5760"/>
        </w:tabs>
        <w:ind w:left="5760" w:hanging="1440"/>
      </w:pPr>
      <w:rPr>
        <w:rFonts w:hint="default"/>
        <w:i w:val="0"/>
        <w:sz w:val="24"/>
      </w:rPr>
    </w:lvl>
    <w:lvl w:ilvl="7">
      <w:start w:val="1"/>
      <w:numFmt w:val="decimal"/>
      <w:lvlText w:val="%1-%2.%3.%4.%5.%6.%7.%8"/>
      <w:lvlJc w:val="left"/>
      <w:pPr>
        <w:tabs>
          <w:tab w:val="num" w:pos="6480"/>
        </w:tabs>
        <w:ind w:left="6480" w:hanging="1440"/>
      </w:pPr>
      <w:rPr>
        <w:rFonts w:hint="default"/>
        <w:i w:val="0"/>
        <w:sz w:val="24"/>
      </w:rPr>
    </w:lvl>
    <w:lvl w:ilvl="8">
      <w:start w:val="1"/>
      <w:numFmt w:val="decimal"/>
      <w:lvlText w:val="%1-%2.%3.%4.%5.%6.%7.%8.%9"/>
      <w:lvlJc w:val="left"/>
      <w:pPr>
        <w:tabs>
          <w:tab w:val="num" w:pos="7560"/>
        </w:tabs>
        <w:ind w:left="7560" w:hanging="1800"/>
      </w:pPr>
      <w:rPr>
        <w:rFonts w:hint="default"/>
        <w:i w:val="0"/>
        <w:sz w:val="24"/>
      </w:rPr>
    </w:lvl>
  </w:abstractNum>
  <w:abstractNum w:abstractNumId="34" w15:restartNumberingAfterBreak="0">
    <w:nsid w:val="7BDE3EA1"/>
    <w:multiLevelType w:val="hybridMultilevel"/>
    <w:tmpl w:val="D3A8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D39D5"/>
    <w:multiLevelType w:val="hybridMultilevel"/>
    <w:tmpl w:val="B5144CB8"/>
    <w:lvl w:ilvl="0" w:tplc="C8CE17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9B517A"/>
    <w:multiLevelType w:val="hybridMultilevel"/>
    <w:tmpl w:val="920EB4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5721520">
    <w:abstractNumId w:val="17"/>
  </w:num>
  <w:num w:numId="2" w16cid:durableId="755518464">
    <w:abstractNumId w:val="20"/>
  </w:num>
  <w:num w:numId="3" w16cid:durableId="1775897450">
    <w:abstractNumId w:val="27"/>
  </w:num>
  <w:num w:numId="4" w16cid:durableId="487014929">
    <w:abstractNumId w:val="36"/>
  </w:num>
  <w:num w:numId="5" w16cid:durableId="1428505084">
    <w:abstractNumId w:val="29"/>
  </w:num>
  <w:num w:numId="6" w16cid:durableId="265583189">
    <w:abstractNumId w:val="13"/>
  </w:num>
  <w:num w:numId="7" w16cid:durableId="1614945270">
    <w:abstractNumId w:val="11"/>
  </w:num>
  <w:num w:numId="8" w16cid:durableId="1828083173">
    <w:abstractNumId w:val="22"/>
  </w:num>
  <w:num w:numId="9" w16cid:durableId="1901212526">
    <w:abstractNumId w:val="32"/>
  </w:num>
  <w:num w:numId="10" w16cid:durableId="1384594047">
    <w:abstractNumId w:val="14"/>
  </w:num>
  <w:num w:numId="11" w16cid:durableId="1306734709">
    <w:abstractNumId w:val="5"/>
  </w:num>
  <w:num w:numId="12" w16cid:durableId="1175799112">
    <w:abstractNumId w:val="25"/>
  </w:num>
  <w:num w:numId="13" w16cid:durableId="380449460">
    <w:abstractNumId w:val="8"/>
  </w:num>
  <w:num w:numId="14" w16cid:durableId="1609969100">
    <w:abstractNumId w:val="34"/>
  </w:num>
  <w:num w:numId="15" w16cid:durableId="798645579">
    <w:abstractNumId w:val="16"/>
  </w:num>
  <w:num w:numId="16" w16cid:durableId="1556315038">
    <w:abstractNumId w:val="24"/>
  </w:num>
  <w:num w:numId="17" w16cid:durableId="563760507">
    <w:abstractNumId w:val="35"/>
  </w:num>
  <w:num w:numId="18" w16cid:durableId="458495151">
    <w:abstractNumId w:val="26"/>
  </w:num>
  <w:num w:numId="19" w16cid:durableId="874074456">
    <w:abstractNumId w:val="18"/>
  </w:num>
  <w:num w:numId="20" w16cid:durableId="1871915996">
    <w:abstractNumId w:val="30"/>
  </w:num>
  <w:num w:numId="21" w16cid:durableId="1118136794">
    <w:abstractNumId w:val="1"/>
  </w:num>
  <w:num w:numId="22" w16cid:durableId="202911507">
    <w:abstractNumId w:val="4"/>
  </w:num>
  <w:num w:numId="23" w16cid:durableId="798648729">
    <w:abstractNumId w:val="23"/>
  </w:num>
  <w:num w:numId="24" w16cid:durableId="1810517994">
    <w:abstractNumId w:val="9"/>
  </w:num>
  <w:num w:numId="25" w16cid:durableId="409814745">
    <w:abstractNumId w:val="2"/>
  </w:num>
  <w:num w:numId="26" w16cid:durableId="1061059648">
    <w:abstractNumId w:val="19"/>
  </w:num>
  <w:num w:numId="27" w16cid:durableId="1921061228">
    <w:abstractNumId w:val="6"/>
  </w:num>
  <w:num w:numId="28" w16cid:durableId="120462877">
    <w:abstractNumId w:val="10"/>
  </w:num>
  <w:num w:numId="29" w16cid:durableId="106698738">
    <w:abstractNumId w:val="7"/>
  </w:num>
  <w:num w:numId="30" w16cid:durableId="1138688116">
    <w:abstractNumId w:val="28"/>
  </w:num>
  <w:num w:numId="31" w16cid:durableId="529732213">
    <w:abstractNumId w:val="15"/>
  </w:num>
  <w:num w:numId="32" w16cid:durableId="1489707300">
    <w:abstractNumId w:val="0"/>
  </w:num>
  <w:num w:numId="33" w16cid:durableId="491139313">
    <w:abstractNumId w:val="33"/>
  </w:num>
  <w:num w:numId="34" w16cid:durableId="1534927415">
    <w:abstractNumId w:val="12"/>
  </w:num>
  <w:num w:numId="35" w16cid:durableId="1315261536">
    <w:abstractNumId w:val="31"/>
  </w:num>
  <w:num w:numId="36" w16cid:durableId="1459840980">
    <w:abstractNumId w:val="21"/>
  </w:num>
  <w:num w:numId="37" w16cid:durableId="111167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98"/>
    <w:rsid w:val="00012CB8"/>
    <w:rsid w:val="0002646D"/>
    <w:rsid w:val="00031F13"/>
    <w:rsid w:val="000342BB"/>
    <w:rsid w:val="000376D8"/>
    <w:rsid w:val="00041203"/>
    <w:rsid w:val="000529C8"/>
    <w:rsid w:val="000575A3"/>
    <w:rsid w:val="00062E1E"/>
    <w:rsid w:val="000630CC"/>
    <w:rsid w:val="00070BB4"/>
    <w:rsid w:val="000841C9"/>
    <w:rsid w:val="00085493"/>
    <w:rsid w:val="00086E83"/>
    <w:rsid w:val="00087BC6"/>
    <w:rsid w:val="00092EB3"/>
    <w:rsid w:val="00093EB5"/>
    <w:rsid w:val="00096F42"/>
    <w:rsid w:val="000A520C"/>
    <w:rsid w:val="000A6F68"/>
    <w:rsid w:val="000A70E6"/>
    <w:rsid w:val="000D7697"/>
    <w:rsid w:val="000E080C"/>
    <w:rsid w:val="000E50ED"/>
    <w:rsid w:val="000E6B0B"/>
    <w:rsid w:val="000F1356"/>
    <w:rsid w:val="000F254F"/>
    <w:rsid w:val="000F2888"/>
    <w:rsid w:val="000F5752"/>
    <w:rsid w:val="000F7566"/>
    <w:rsid w:val="000F76BE"/>
    <w:rsid w:val="001035E8"/>
    <w:rsid w:val="0010400F"/>
    <w:rsid w:val="001127E7"/>
    <w:rsid w:val="00123E95"/>
    <w:rsid w:val="001241DF"/>
    <w:rsid w:val="00124BD3"/>
    <w:rsid w:val="00125A3B"/>
    <w:rsid w:val="00126A63"/>
    <w:rsid w:val="001400EF"/>
    <w:rsid w:val="00155A73"/>
    <w:rsid w:val="00157591"/>
    <w:rsid w:val="00170A91"/>
    <w:rsid w:val="00171CF7"/>
    <w:rsid w:val="001816F8"/>
    <w:rsid w:val="001819B2"/>
    <w:rsid w:val="00181C0E"/>
    <w:rsid w:val="001827CF"/>
    <w:rsid w:val="001873C8"/>
    <w:rsid w:val="001941A6"/>
    <w:rsid w:val="001956D5"/>
    <w:rsid w:val="001A4F99"/>
    <w:rsid w:val="001B1754"/>
    <w:rsid w:val="001B1EBC"/>
    <w:rsid w:val="001C5BA8"/>
    <w:rsid w:val="001C6A52"/>
    <w:rsid w:val="001D0235"/>
    <w:rsid w:val="001D30B5"/>
    <w:rsid w:val="001D5AA3"/>
    <w:rsid w:val="001E1DD6"/>
    <w:rsid w:val="001F3CD5"/>
    <w:rsid w:val="00202264"/>
    <w:rsid w:val="002032A0"/>
    <w:rsid w:val="00221489"/>
    <w:rsid w:val="0022693D"/>
    <w:rsid w:val="00226D53"/>
    <w:rsid w:val="00230F38"/>
    <w:rsid w:val="002312F3"/>
    <w:rsid w:val="002313FA"/>
    <w:rsid w:val="0023689A"/>
    <w:rsid w:val="00237AE9"/>
    <w:rsid w:val="00256227"/>
    <w:rsid w:val="002575DF"/>
    <w:rsid w:val="00261325"/>
    <w:rsid w:val="00270FDE"/>
    <w:rsid w:val="002762E0"/>
    <w:rsid w:val="00276737"/>
    <w:rsid w:val="00276D26"/>
    <w:rsid w:val="002821A1"/>
    <w:rsid w:val="00282C21"/>
    <w:rsid w:val="00294DF1"/>
    <w:rsid w:val="002D068C"/>
    <w:rsid w:val="002D5BC7"/>
    <w:rsid w:val="002E3AFD"/>
    <w:rsid w:val="002E776B"/>
    <w:rsid w:val="002F7E8E"/>
    <w:rsid w:val="00301698"/>
    <w:rsid w:val="0030387D"/>
    <w:rsid w:val="00305CA1"/>
    <w:rsid w:val="00307B79"/>
    <w:rsid w:val="00311DD0"/>
    <w:rsid w:val="00312281"/>
    <w:rsid w:val="003135F8"/>
    <w:rsid w:val="003200C1"/>
    <w:rsid w:val="00320A50"/>
    <w:rsid w:val="003234D9"/>
    <w:rsid w:val="00323B33"/>
    <w:rsid w:val="00331B8F"/>
    <w:rsid w:val="00335155"/>
    <w:rsid w:val="0033522A"/>
    <w:rsid w:val="0033691B"/>
    <w:rsid w:val="0034156A"/>
    <w:rsid w:val="003417B4"/>
    <w:rsid w:val="0034246B"/>
    <w:rsid w:val="003437E3"/>
    <w:rsid w:val="003445E6"/>
    <w:rsid w:val="0036052B"/>
    <w:rsid w:val="00383119"/>
    <w:rsid w:val="00386AF1"/>
    <w:rsid w:val="003952FF"/>
    <w:rsid w:val="00397AA7"/>
    <w:rsid w:val="003B0075"/>
    <w:rsid w:val="003B00DE"/>
    <w:rsid w:val="003B477A"/>
    <w:rsid w:val="003B5059"/>
    <w:rsid w:val="003C23F1"/>
    <w:rsid w:val="003C33A2"/>
    <w:rsid w:val="003C5334"/>
    <w:rsid w:val="003E37D1"/>
    <w:rsid w:val="003F0ACF"/>
    <w:rsid w:val="003F0F89"/>
    <w:rsid w:val="003F182F"/>
    <w:rsid w:val="003F4BF0"/>
    <w:rsid w:val="003F738F"/>
    <w:rsid w:val="00401373"/>
    <w:rsid w:val="00404206"/>
    <w:rsid w:val="00405284"/>
    <w:rsid w:val="00411222"/>
    <w:rsid w:val="004116D6"/>
    <w:rsid w:val="00411ED5"/>
    <w:rsid w:val="00427F85"/>
    <w:rsid w:val="00432E06"/>
    <w:rsid w:val="00435808"/>
    <w:rsid w:val="0043697B"/>
    <w:rsid w:val="00436CCE"/>
    <w:rsid w:val="00445E91"/>
    <w:rsid w:val="004462FD"/>
    <w:rsid w:val="00446B62"/>
    <w:rsid w:val="00466CBA"/>
    <w:rsid w:val="004714FB"/>
    <w:rsid w:val="00472853"/>
    <w:rsid w:val="00472A3D"/>
    <w:rsid w:val="00473C4B"/>
    <w:rsid w:val="00477859"/>
    <w:rsid w:val="0048370A"/>
    <w:rsid w:val="00484168"/>
    <w:rsid w:val="004A47C7"/>
    <w:rsid w:val="004A4BB4"/>
    <w:rsid w:val="004B2F48"/>
    <w:rsid w:val="004C3A43"/>
    <w:rsid w:val="004C7EF3"/>
    <w:rsid w:val="004D2588"/>
    <w:rsid w:val="004D3667"/>
    <w:rsid w:val="004D67A7"/>
    <w:rsid w:val="004E0688"/>
    <w:rsid w:val="004E67CD"/>
    <w:rsid w:val="004E7259"/>
    <w:rsid w:val="004F0B9A"/>
    <w:rsid w:val="004F0D9C"/>
    <w:rsid w:val="0050138B"/>
    <w:rsid w:val="0050596E"/>
    <w:rsid w:val="005066B1"/>
    <w:rsid w:val="00506DDF"/>
    <w:rsid w:val="005147F3"/>
    <w:rsid w:val="00521FE3"/>
    <w:rsid w:val="00522A0F"/>
    <w:rsid w:val="005258E3"/>
    <w:rsid w:val="00525955"/>
    <w:rsid w:val="005306CF"/>
    <w:rsid w:val="00533723"/>
    <w:rsid w:val="00533BA3"/>
    <w:rsid w:val="00537476"/>
    <w:rsid w:val="00543EF5"/>
    <w:rsid w:val="005509C7"/>
    <w:rsid w:val="00556B30"/>
    <w:rsid w:val="00556E0F"/>
    <w:rsid w:val="00570B89"/>
    <w:rsid w:val="005717FD"/>
    <w:rsid w:val="00575F82"/>
    <w:rsid w:val="00576616"/>
    <w:rsid w:val="00580117"/>
    <w:rsid w:val="005A3542"/>
    <w:rsid w:val="005A3D42"/>
    <w:rsid w:val="005A45EA"/>
    <w:rsid w:val="005A6955"/>
    <w:rsid w:val="005B1BFF"/>
    <w:rsid w:val="005B4F42"/>
    <w:rsid w:val="005B58C4"/>
    <w:rsid w:val="005B5A35"/>
    <w:rsid w:val="005B6FD8"/>
    <w:rsid w:val="005B7B0F"/>
    <w:rsid w:val="005C1BFF"/>
    <w:rsid w:val="005D0CDE"/>
    <w:rsid w:val="005D0EFD"/>
    <w:rsid w:val="005D11F5"/>
    <w:rsid w:val="005D29D5"/>
    <w:rsid w:val="005D3034"/>
    <w:rsid w:val="005D4712"/>
    <w:rsid w:val="005D5C4E"/>
    <w:rsid w:val="005D72A2"/>
    <w:rsid w:val="005E0D70"/>
    <w:rsid w:val="005E4594"/>
    <w:rsid w:val="005E64AB"/>
    <w:rsid w:val="005E738E"/>
    <w:rsid w:val="006027D2"/>
    <w:rsid w:val="006159A0"/>
    <w:rsid w:val="00621264"/>
    <w:rsid w:val="00625B58"/>
    <w:rsid w:val="00626215"/>
    <w:rsid w:val="006341EC"/>
    <w:rsid w:val="00650725"/>
    <w:rsid w:val="00653E43"/>
    <w:rsid w:val="00654733"/>
    <w:rsid w:val="00654AFF"/>
    <w:rsid w:val="0067222A"/>
    <w:rsid w:val="006768D8"/>
    <w:rsid w:val="006808D6"/>
    <w:rsid w:val="00684FD2"/>
    <w:rsid w:val="00685A31"/>
    <w:rsid w:val="00685C1C"/>
    <w:rsid w:val="00687587"/>
    <w:rsid w:val="0069021E"/>
    <w:rsid w:val="00691CE1"/>
    <w:rsid w:val="00696263"/>
    <w:rsid w:val="006966F7"/>
    <w:rsid w:val="006A1E94"/>
    <w:rsid w:val="006A317B"/>
    <w:rsid w:val="006A6A76"/>
    <w:rsid w:val="006B0371"/>
    <w:rsid w:val="006B23F6"/>
    <w:rsid w:val="006B5B70"/>
    <w:rsid w:val="006B75DD"/>
    <w:rsid w:val="006C0BE6"/>
    <w:rsid w:val="006F0E9F"/>
    <w:rsid w:val="006F48A1"/>
    <w:rsid w:val="006F648C"/>
    <w:rsid w:val="00700F48"/>
    <w:rsid w:val="00701A6C"/>
    <w:rsid w:val="00704470"/>
    <w:rsid w:val="00707FAC"/>
    <w:rsid w:val="007226DE"/>
    <w:rsid w:val="007253B2"/>
    <w:rsid w:val="00727494"/>
    <w:rsid w:val="00727FC4"/>
    <w:rsid w:val="00736DA4"/>
    <w:rsid w:val="00740F5F"/>
    <w:rsid w:val="007478FB"/>
    <w:rsid w:val="007503A4"/>
    <w:rsid w:val="00754873"/>
    <w:rsid w:val="00762017"/>
    <w:rsid w:val="007657DD"/>
    <w:rsid w:val="00774116"/>
    <w:rsid w:val="00776020"/>
    <w:rsid w:val="00780949"/>
    <w:rsid w:val="00780B35"/>
    <w:rsid w:val="00781962"/>
    <w:rsid w:val="007855E5"/>
    <w:rsid w:val="00786D2B"/>
    <w:rsid w:val="00787BE4"/>
    <w:rsid w:val="00792946"/>
    <w:rsid w:val="0079489F"/>
    <w:rsid w:val="007A22D6"/>
    <w:rsid w:val="007B1B25"/>
    <w:rsid w:val="007B5491"/>
    <w:rsid w:val="007B6BEF"/>
    <w:rsid w:val="007B7919"/>
    <w:rsid w:val="007C691E"/>
    <w:rsid w:val="007E074B"/>
    <w:rsid w:val="007E12D5"/>
    <w:rsid w:val="007E5678"/>
    <w:rsid w:val="007E7BC0"/>
    <w:rsid w:val="007F4060"/>
    <w:rsid w:val="007F6EB1"/>
    <w:rsid w:val="007F78D8"/>
    <w:rsid w:val="008039DC"/>
    <w:rsid w:val="00820D0F"/>
    <w:rsid w:val="00834823"/>
    <w:rsid w:val="00844045"/>
    <w:rsid w:val="008519AF"/>
    <w:rsid w:val="00855EA7"/>
    <w:rsid w:val="008627CC"/>
    <w:rsid w:val="00866B3F"/>
    <w:rsid w:val="008677BD"/>
    <w:rsid w:val="00886B2A"/>
    <w:rsid w:val="008A0AAB"/>
    <w:rsid w:val="008A35AD"/>
    <w:rsid w:val="008A60FC"/>
    <w:rsid w:val="008B1FCB"/>
    <w:rsid w:val="008B380E"/>
    <w:rsid w:val="008B4286"/>
    <w:rsid w:val="008B50BE"/>
    <w:rsid w:val="008B627E"/>
    <w:rsid w:val="008C0D3D"/>
    <w:rsid w:val="008C6C31"/>
    <w:rsid w:val="008D12F7"/>
    <w:rsid w:val="008D625C"/>
    <w:rsid w:val="008E06A5"/>
    <w:rsid w:val="008E1D27"/>
    <w:rsid w:val="008E6C32"/>
    <w:rsid w:val="009008C6"/>
    <w:rsid w:val="0090115B"/>
    <w:rsid w:val="00901C7F"/>
    <w:rsid w:val="0090240E"/>
    <w:rsid w:val="00904991"/>
    <w:rsid w:val="00912AC5"/>
    <w:rsid w:val="00913FC9"/>
    <w:rsid w:val="00921542"/>
    <w:rsid w:val="00932EF5"/>
    <w:rsid w:val="00940557"/>
    <w:rsid w:val="00941C31"/>
    <w:rsid w:val="0094261D"/>
    <w:rsid w:val="0095694A"/>
    <w:rsid w:val="009748C9"/>
    <w:rsid w:val="00974CEB"/>
    <w:rsid w:val="00980BA1"/>
    <w:rsid w:val="00991C9E"/>
    <w:rsid w:val="0099467E"/>
    <w:rsid w:val="009A4D98"/>
    <w:rsid w:val="009A7B10"/>
    <w:rsid w:val="009B1F63"/>
    <w:rsid w:val="009B4C1A"/>
    <w:rsid w:val="009B6733"/>
    <w:rsid w:val="009D24F7"/>
    <w:rsid w:val="009D37ED"/>
    <w:rsid w:val="009D6678"/>
    <w:rsid w:val="009D79C4"/>
    <w:rsid w:val="009E1213"/>
    <w:rsid w:val="009E61CC"/>
    <w:rsid w:val="00A0645F"/>
    <w:rsid w:val="00A06A0E"/>
    <w:rsid w:val="00A1612B"/>
    <w:rsid w:val="00A22417"/>
    <w:rsid w:val="00A24998"/>
    <w:rsid w:val="00A26E93"/>
    <w:rsid w:val="00A27BD0"/>
    <w:rsid w:val="00A35F93"/>
    <w:rsid w:val="00A36E59"/>
    <w:rsid w:val="00A37071"/>
    <w:rsid w:val="00A37C4A"/>
    <w:rsid w:val="00A43BE3"/>
    <w:rsid w:val="00A46C1E"/>
    <w:rsid w:val="00A542C8"/>
    <w:rsid w:val="00A5501D"/>
    <w:rsid w:val="00A65EE6"/>
    <w:rsid w:val="00A73D2C"/>
    <w:rsid w:val="00A7457F"/>
    <w:rsid w:val="00A74FDA"/>
    <w:rsid w:val="00A75608"/>
    <w:rsid w:val="00A91D03"/>
    <w:rsid w:val="00A97C77"/>
    <w:rsid w:val="00AA0E95"/>
    <w:rsid w:val="00AA602E"/>
    <w:rsid w:val="00AB1DE0"/>
    <w:rsid w:val="00AD5AA3"/>
    <w:rsid w:val="00AE2D66"/>
    <w:rsid w:val="00AE7A67"/>
    <w:rsid w:val="00B0494D"/>
    <w:rsid w:val="00B12813"/>
    <w:rsid w:val="00B14086"/>
    <w:rsid w:val="00B170E0"/>
    <w:rsid w:val="00B271D0"/>
    <w:rsid w:val="00B308DE"/>
    <w:rsid w:val="00B313CD"/>
    <w:rsid w:val="00B37C25"/>
    <w:rsid w:val="00B520E6"/>
    <w:rsid w:val="00B5378E"/>
    <w:rsid w:val="00B61F3C"/>
    <w:rsid w:val="00B90394"/>
    <w:rsid w:val="00B903ED"/>
    <w:rsid w:val="00B908D5"/>
    <w:rsid w:val="00BA0FD9"/>
    <w:rsid w:val="00BA55D9"/>
    <w:rsid w:val="00BA5B1E"/>
    <w:rsid w:val="00BA5B6C"/>
    <w:rsid w:val="00BD07CB"/>
    <w:rsid w:val="00C00E0C"/>
    <w:rsid w:val="00C02E10"/>
    <w:rsid w:val="00C0734C"/>
    <w:rsid w:val="00C07D0D"/>
    <w:rsid w:val="00C14860"/>
    <w:rsid w:val="00C17FD8"/>
    <w:rsid w:val="00C20AF4"/>
    <w:rsid w:val="00C210A4"/>
    <w:rsid w:val="00C23150"/>
    <w:rsid w:val="00C34570"/>
    <w:rsid w:val="00C41DD2"/>
    <w:rsid w:val="00C456AA"/>
    <w:rsid w:val="00C46845"/>
    <w:rsid w:val="00C70E45"/>
    <w:rsid w:val="00C9148B"/>
    <w:rsid w:val="00C9187B"/>
    <w:rsid w:val="00C93B2C"/>
    <w:rsid w:val="00C96202"/>
    <w:rsid w:val="00CA2BC9"/>
    <w:rsid w:val="00CA3FC1"/>
    <w:rsid w:val="00CB0B0F"/>
    <w:rsid w:val="00CB64C6"/>
    <w:rsid w:val="00CC261C"/>
    <w:rsid w:val="00CC337C"/>
    <w:rsid w:val="00CC42E6"/>
    <w:rsid w:val="00CD3BCE"/>
    <w:rsid w:val="00CE15F7"/>
    <w:rsid w:val="00CE373E"/>
    <w:rsid w:val="00CE635D"/>
    <w:rsid w:val="00CF315E"/>
    <w:rsid w:val="00CF3FE1"/>
    <w:rsid w:val="00D06998"/>
    <w:rsid w:val="00D07BEA"/>
    <w:rsid w:val="00D1749A"/>
    <w:rsid w:val="00D204C1"/>
    <w:rsid w:val="00D2141D"/>
    <w:rsid w:val="00D32DB6"/>
    <w:rsid w:val="00D368A9"/>
    <w:rsid w:val="00D37790"/>
    <w:rsid w:val="00D41812"/>
    <w:rsid w:val="00D4534D"/>
    <w:rsid w:val="00D5129E"/>
    <w:rsid w:val="00D51CCC"/>
    <w:rsid w:val="00D56608"/>
    <w:rsid w:val="00D6130F"/>
    <w:rsid w:val="00D65590"/>
    <w:rsid w:val="00D65768"/>
    <w:rsid w:val="00D664C4"/>
    <w:rsid w:val="00D6675D"/>
    <w:rsid w:val="00D70C10"/>
    <w:rsid w:val="00D83320"/>
    <w:rsid w:val="00D83ECA"/>
    <w:rsid w:val="00D94CBF"/>
    <w:rsid w:val="00DA0B9B"/>
    <w:rsid w:val="00DA24BB"/>
    <w:rsid w:val="00DB5296"/>
    <w:rsid w:val="00DB74B1"/>
    <w:rsid w:val="00DC2588"/>
    <w:rsid w:val="00DD5B0F"/>
    <w:rsid w:val="00DD726F"/>
    <w:rsid w:val="00DE569C"/>
    <w:rsid w:val="00DF46A7"/>
    <w:rsid w:val="00E009CE"/>
    <w:rsid w:val="00E01583"/>
    <w:rsid w:val="00E03806"/>
    <w:rsid w:val="00E03B4A"/>
    <w:rsid w:val="00E05012"/>
    <w:rsid w:val="00E12007"/>
    <w:rsid w:val="00E20A3B"/>
    <w:rsid w:val="00E21C49"/>
    <w:rsid w:val="00E2370B"/>
    <w:rsid w:val="00E32CD9"/>
    <w:rsid w:val="00E334F9"/>
    <w:rsid w:val="00E349EC"/>
    <w:rsid w:val="00E356A9"/>
    <w:rsid w:val="00E40833"/>
    <w:rsid w:val="00E429F2"/>
    <w:rsid w:val="00E4555D"/>
    <w:rsid w:val="00E5084F"/>
    <w:rsid w:val="00E55944"/>
    <w:rsid w:val="00E56E45"/>
    <w:rsid w:val="00E60075"/>
    <w:rsid w:val="00E66F65"/>
    <w:rsid w:val="00E74177"/>
    <w:rsid w:val="00E804EC"/>
    <w:rsid w:val="00E838CB"/>
    <w:rsid w:val="00E8669B"/>
    <w:rsid w:val="00E94777"/>
    <w:rsid w:val="00EA3A03"/>
    <w:rsid w:val="00EC5EBC"/>
    <w:rsid w:val="00ED54D8"/>
    <w:rsid w:val="00ED5515"/>
    <w:rsid w:val="00EE5959"/>
    <w:rsid w:val="00EF0DDA"/>
    <w:rsid w:val="00EF50B3"/>
    <w:rsid w:val="00F011AB"/>
    <w:rsid w:val="00F054AA"/>
    <w:rsid w:val="00F2272F"/>
    <w:rsid w:val="00F26422"/>
    <w:rsid w:val="00F32A6B"/>
    <w:rsid w:val="00F3477F"/>
    <w:rsid w:val="00F37A10"/>
    <w:rsid w:val="00F504E9"/>
    <w:rsid w:val="00F521B4"/>
    <w:rsid w:val="00F526F3"/>
    <w:rsid w:val="00F53E4E"/>
    <w:rsid w:val="00F6518F"/>
    <w:rsid w:val="00F65E51"/>
    <w:rsid w:val="00F66E48"/>
    <w:rsid w:val="00F70F88"/>
    <w:rsid w:val="00F7146D"/>
    <w:rsid w:val="00F75753"/>
    <w:rsid w:val="00F7751D"/>
    <w:rsid w:val="00F7797C"/>
    <w:rsid w:val="00F806F5"/>
    <w:rsid w:val="00F87AFD"/>
    <w:rsid w:val="00F9636F"/>
    <w:rsid w:val="00F96CA8"/>
    <w:rsid w:val="00FA055A"/>
    <w:rsid w:val="00FB0A54"/>
    <w:rsid w:val="00FB276D"/>
    <w:rsid w:val="00FB3B6A"/>
    <w:rsid w:val="00FC5237"/>
    <w:rsid w:val="00FD2841"/>
    <w:rsid w:val="00FD728A"/>
    <w:rsid w:val="00FE6046"/>
    <w:rsid w:val="00FE6715"/>
    <w:rsid w:val="00FE6956"/>
    <w:rsid w:val="00FE70BE"/>
    <w:rsid w:val="00FE774E"/>
    <w:rsid w:val="00FF4EF3"/>
    <w:rsid w:val="00FF5909"/>
    <w:rsid w:val="00FF6F8B"/>
    <w:rsid w:val="0B92EA18"/>
    <w:rsid w:val="231D2CD9"/>
    <w:rsid w:val="3677A015"/>
    <w:rsid w:val="41328743"/>
    <w:rsid w:val="4F177014"/>
    <w:rsid w:val="516E7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C9DCA"/>
  <w15:chartTrackingRefBased/>
  <w15:docId w15:val="{1CDFE8FA-185C-4ED9-B02D-9BCB044D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086"/>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rFonts w:ascii="Times New Roman" w:hAnsi="Times New Roman" w:cs="Times New Roman"/>
      <w:sz w:val="28"/>
      <w:szCs w:val="20"/>
    </w:rPr>
  </w:style>
  <w:style w:type="paragraph" w:styleId="Heading5">
    <w:name w:val="heading 5"/>
    <w:basedOn w:val="Normal"/>
    <w:next w:val="Normal"/>
    <w:qFormat/>
    <w:pPr>
      <w:keepNext/>
      <w:outlineLvl w:val="4"/>
    </w:pPr>
    <w:rPr>
      <w:rFonts w:ascii="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rPr>
      <w:rFonts w:ascii="Times New Roman" w:hAnsi="Times New Roman" w:cs="Times New Roman"/>
      <w:b/>
      <w:bCs/>
      <w:i/>
      <w:iCs/>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TOC2">
    <w:name w:val="toc 2"/>
    <w:basedOn w:val="Normal"/>
    <w:next w:val="Normal"/>
    <w:autoRedefine/>
    <w:semiHidden/>
    <w:pPr>
      <w:spacing w:before="120"/>
      <w:ind w:left="240"/>
    </w:pPr>
    <w:rPr>
      <w:rFonts w:ascii="Times New Roman" w:hAnsi="Times New Roman" w:cs="Times New Roman"/>
      <w:b/>
      <w:bCs/>
      <w:sz w:val="22"/>
      <w:szCs w:val="22"/>
    </w:rPr>
  </w:style>
  <w:style w:type="paragraph" w:styleId="TOC3">
    <w:name w:val="toc 3"/>
    <w:basedOn w:val="Normal"/>
    <w:next w:val="Normal"/>
    <w:autoRedefine/>
    <w:semiHidden/>
    <w:pPr>
      <w:ind w:left="480"/>
    </w:pPr>
    <w:rPr>
      <w:rFonts w:ascii="Times New Roman" w:hAnsi="Times New Roman" w:cs="Times New Roman"/>
      <w:sz w:val="20"/>
      <w:szCs w:val="20"/>
    </w:rPr>
  </w:style>
  <w:style w:type="paragraph" w:styleId="TOC4">
    <w:name w:val="toc 4"/>
    <w:basedOn w:val="Normal"/>
    <w:next w:val="Normal"/>
    <w:autoRedefine/>
    <w:semiHidden/>
    <w:pPr>
      <w:ind w:left="720"/>
    </w:pPr>
    <w:rPr>
      <w:rFonts w:ascii="Times New Roman" w:hAnsi="Times New Roman" w:cs="Times New Roman"/>
      <w:sz w:val="20"/>
      <w:szCs w:val="20"/>
    </w:rPr>
  </w:style>
  <w:style w:type="paragraph" w:styleId="TOC5">
    <w:name w:val="toc 5"/>
    <w:basedOn w:val="Normal"/>
    <w:next w:val="Normal"/>
    <w:autoRedefine/>
    <w:semiHidden/>
    <w:pPr>
      <w:ind w:left="960"/>
    </w:pPr>
    <w:rPr>
      <w:rFonts w:ascii="Times New Roman" w:hAnsi="Times New Roman" w:cs="Times New Roman"/>
      <w:sz w:val="20"/>
      <w:szCs w:val="20"/>
    </w:rPr>
  </w:style>
  <w:style w:type="paragraph" w:styleId="TOC6">
    <w:name w:val="toc 6"/>
    <w:basedOn w:val="Normal"/>
    <w:next w:val="Normal"/>
    <w:autoRedefine/>
    <w:semiHidden/>
    <w:pPr>
      <w:ind w:left="1200"/>
    </w:pPr>
    <w:rPr>
      <w:rFonts w:ascii="Times New Roman" w:hAnsi="Times New Roman" w:cs="Times New Roman"/>
      <w:sz w:val="20"/>
      <w:szCs w:val="20"/>
    </w:rPr>
  </w:style>
  <w:style w:type="paragraph" w:styleId="TOC7">
    <w:name w:val="toc 7"/>
    <w:basedOn w:val="Normal"/>
    <w:next w:val="Normal"/>
    <w:autoRedefine/>
    <w:semiHidden/>
    <w:pPr>
      <w:ind w:left="1440"/>
    </w:pPr>
    <w:rPr>
      <w:rFonts w:ascii="Times New Roman" w:hAnsi="Times New Roman" w:cs="Times New Roman"/>
      <w:sz w:val="20"/>
      <w:szCs w:val="20"/>
    </w:rPr>
  </w:style>
  <w:style w:type="paragraph" w:styleId="TOC8">
    <w:name w:val="toc 8"/>
    <w:basedOn w:val="Normal"/>
    <w:next w:val="Normal"/>
    <w:autoRedefine/>
    <w:semiHidden/>
    <w:pPr>
      <w:ind w:left="1680"/>
    </w:pPr>
    <w:rPr>
      <w:rFonts w:ascii="Times New Roman" w:hAnsi="Times New Roman" w:cs="Times New Roman"/>
      <w:sz w:val="20"/>
      <w:szCs w:val="20"/>
    </w:rPr>
  </w:style>
  <w:style w:type="paragraph" w:styleId="TOC9">
    <w:name w:val="toc 9"/>
    <w:basedOn w:val="Normal"/>
    <w:next w:val="Normal"/>
    <w:autoRedefine/>
    <w:semiHidden/>
    <w:pPr>
      <w:ind w:left="1920"/>
    </w:pPr>
    <w:rPr>
      <w:rFonts w:ascii="Times New Roman" w:hAnsi="Times New Roman" w:cs="Times New Roman"/>
      <w:sz w:val="20"/>
      <w:szCs w:val="20"/>
    </w:rPr>
  </w:style>
  <w:style w:type="paragraph" w:styleId="BodyTextIndent">
    <w:name w:val="Body Text Indent"/>
    <w:basedOn w:val="Normal"/>
    <w:pPr>
      <w:ind w:left="720"/>
    </w:pPr>
    <w:rPr>
      <w:rFonts w:ascii="Times New Roman" w:hAnsi="Times New Roman" w:cs="Times New Roman"/>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BodyText">
    <w:name w:val="Body Text"/>
    <w:basedOn w:val="Normal"/>
    <w:pPr>
      <w:overflowPunct w:val="0"/>
      <w:autoSpaceDE w:val="0"/>
      <w:autoSpaceDN w:val="0"/>
      <w:adjustRightInd w:val="0"/>
      <w:textAlignment w:val="baseline"/>
    </w:pPr>
    <w:rPr>
      <w:rFonts w:ascii="Times New Roman" w:hAnsi="Times New Roman" w:cs="Times New Roman"/>
      <w:sz w:val="28"/>
      <w:szCs w:val="20"/>
    </w:rPr>
  </w:style>
  <w:style w:type="paragraph" w:styleId="NormalWeb">
    <w:name w:val="Normal (Web)"/>
    <w:basedOn w:val="Normal"/>
    <w:pPr>
      <w:spacing w:before="100" w:beforeAutospacing="1" w:after="100" w:afterAutospacing="1"/>
    </w:pPr>
    <w:rPr>
      <w:rFonts w:ascii="Times New Roman" w:hAnsi="Times New Roman" w:cs="Times New Roman"/>
    </w:rPr>
  </w:style>
  <w:style w:type="table" w:styleId="TableGrid">
    <w:name w:val="Table Grid"/>
    <w:basedOn w:val="TableNormal"/>
    <w:rsid w:val="003F4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9636F"/>
    <w:rPr>
      <w:rFonts w:ascii="Arial" w:hAnsi="Arial" w:cs="Arial"/>
      <w:sz w:val="24"/>
      <w:szCs w:val="24"/>
    </w:rPr>
  </w:style>
  <w:style w:type="character" w:styleId="UnresolvedMention">
    <w:name w:val="Unresolved Mention"/>
    <w:uiPriority w:val="99"/>
    <w:semiHidden/>
    <w:unhideWhenUsed/>
    <w:rsid w:val="002762E0"/>
    <w:rPr>
      <w:color w:val="605E5C"/>
      <w:shd w:val="clear" w:color="auto" w:fill="E1DFDD"/>
    </w:rPr>
  </w:style>
  <w:style w:type="paragraph" w:styleId="ListParagraph">
    <w:name w:val="List Paragraph"/>
    <w:basedOn w:val="Normal"/>
    <w:uiPriority w:val="34"/>
    <w:qFormat/>
    <w:rsid w:val="002762E0"/>
    <w:pPr>
      <w:ind w:left="720"/>
    </w:pPr>
    <w:rPr>
      <w:rFonts w:ascii="Calibri" w:eastAsia="Calibri" w:hAnsi="Calibri" w:cs="Times New Roman"/>
      <w:sz w:val="22"/>
      <w:szCs w:val="22"/>
    </w:rPr>
  </w:style>
  <w:style w:type="paragraph" w:customStyle="1" w:styleId="Default">
    <w:name w:val="Default"/>
    <w:basedOn w:val="Normal"/>
    <w:rsid w:val="002762E0"/>
    <w:pPr>
      <w:autoSpaceDE w:val="0"/>
      <w:autoSpaceDN w:val="0"/>
    </w:pPr>
    <w:rPr>
      <w:rFonts w:ascii="Calibri" w:eastAsia="Calibri" w:hAnsi="Calibri" w:cs="Times New Roman"/>
      <w:color w:val="000000"/>
    </w:rPr>
  </w:style>
  <w:style w:type="paragraph" w:customStyle="1" w:styleId="TableParagraph">
    <w:name w:val="Table Paragraph"/>
    <w:basedOn w:val="Normal"/>
    <w:uiPriority w:val="1"/>
    <w:qFormat/>
    <w:rsid w:val="006B75DD"/>
    <w:pPr>
      <w:widowControl w:val="0"/>
      <w:autoSpaceDE w:val="0"/>
      <w:autoSpaceDN w:val="0"/>
      <w:ind w:left="107"/>
    </w:pPr>
    <w:rPr>
      <w:rFonts w:eastAsia="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rsash@ardc.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aaa.us-1.smartsimple.com/s_Login.js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evisor.mn.gov/statutes/?id=13.05" TargetMode="External"/><Relationship Id="rId20" Type="http://schemas.openxmlformats.org/officeDocument/2006/relationships/hyperlink" Target="https://teams.microsoft.com/l/meetup-join/19%3ameeting_ZDU2NTkwNGYtNWIyMS00ZmQxLWIyNjgtZDM1MTQ1N2Q5NzQ0%40thread.v2/0?context=%7b%22Tid%22%3a%2252facab2-06d4-431b-a404-3e05f290b402%22%2c%22Oid%22%3a%2260bd0c35-59e7-4a5e-bcb7-184777791f56%22%7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aaa.us-1.smartsimple.com/s_Login.j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marsalla@ard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nnesotahelp.info/public/"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8" ma:contentTypeDescription="Create a new document." ma:contentTypeScope="" ma:versionID="30475e21fbea2eec36924c7d6f296e77">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5c736eb85a53f8e4b137dc89b7f7bf8c"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ReconciliationMeet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conciliationMeeting" ma:index="23" nillable="true" ma:displayName="Reconciliation Meeting  " ma:format="Dropdown" ma:internalName="ReconciliationMeeting">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fab226-51dd-4487-a6e7-d1ae94571a5c}" ma:internalName="TaxCatchAll" ma:readOnly="false"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ReconciliationMeeting xmlns="65bc8a6c-8548-4a7a-87b0-b6bb69226d2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3EE07-BB2A-40EF-A95A-779A12D232A9}">
  <ds:schemaRefs>
    <ds:schemaRef ds:uri="http://schemas.microsoft.com/office/2006/metadata/longProperties"/>
  </ds:schemaRefs>
</ds:datastoreItem>
</file>

<file path=customXml/itemProps2.xml><?xml version="1.0" encoding="utf-8"?>
<ds:datastoreItem xmlns:ds="http://schemas.openxmlformats.org/officeDocument/2006/customXml" ds:itemID="{63487545-C711-4F50-9190-6792D62C8DFB}">
  <ds:schemaRefs>
    <ds:schemaRef ds:uri="http://schemas.openxmlformats.org/officeDocument/2006/bibliography"/>
  </ds:schemaRefs>
</ds:datastoreItem>
</file>

<file path=customXml/itemProps3.xml><?xml version="1.0" encoding="utf-8"?>
<ds:datastoreItem xmlns:ds="http://schemas.openxmlformats.org/officeDocument/2006/customXml" ds:itemID="{23E38AA6-9068-463E-BD61-B014D152A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c8a6c-8548-4a7a-87b0-b6bb69226d22"/>
    <ds:schemaRef ds:uri="5b64250b-3735-40e6-860b-d17d962bb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8940E-8105-4C58-882D-D5C52C2D3F3F}">
  <ds:schemaRefs>
    <ds:schemaRef ds:uri="http://schemas.microsoft.com/office/2006/metadata/properties"/>
    <ds:schemaRef ds:uri="http://schemas.microsoft.com/office/infopath/2007/PartnerControls"/>
    <ds:schemaRef ds:uri="65bc8a6c-8548-4a7a-87b0-b6bb69226d22"/>
    <ds:schemaRef ds:uri="5b64250b-3735-40e6-860b-d17d962bb0c5"/>
  </ds:schemaRefs>
</ds:datastoreItem>
</file>

<file path=customXml/itemProps5.xml><?xml version="1.0" encoding="utf-8"?>
<ds:datastoreItem xmlns:ds="http://schemas.openxmlformats.org/officeDocument/2006/customXml" ds:itemID="{53C69552-1A12-4D6C-A738-C87D286B2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3363</Words>
  <Characters>19802</Characters>
  <Application>Microsoft Office Word</Application>
  <DocSecurity>4</DocSecurity>
  <Lines>165</Lines>
  <Paragraphs>46</Paragraphs>
  <ScaleCrop>false</ScaleCrop>
  <Company>Hewlett-Packard Company</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Prosen</dc:creator>
  <cp:keywords/>
  <cp:lastModifiedBy>Lynelle Hanson</cp:lastModifiedBy>
  <cp:revision>2</cp:revision>
  <cp:lastPrinted>2019-06-07T22:13:00Z</cp:lastPrinted>
  <dcterms:created xsi:type="dcterms:W3CDTF">2025-06-24T15:01:00Z</dcterms:created>
  <dcterms:modified xsi:type="dcterms:W3CDTF">2025-06-24T15:01:00Z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Rebecca Sash</vt:lpwstr>
  </property>
  <property fmtid="{D5CDD505-2E9C-101B-9397-08002B2CF9AE}" pid="3" name="Order">
    <vt:lpwstr>1515000.00000000</vt:lpwstr>
  </property>
  <property fmtid="{D5CDD505-2E9C-101B-9397-08002B2CF9AE}" pid="4" name="display_urn:schemas-microsoft-com:office:office#Author">
    <vt:lpwstr>Rebecca Sash</vt:lpwstr>
  </property>
  <property fmtid="{D5CDD505-2E9C-101B-9397-08002B2CF9AE}" pid="5" name="ContentTypeId">
    <vt:lpwstr>0x0101004001F395B7169649A2CD8D42D9DFF5F3</vt:lpwstr>
  </property>
  <property fmtid="{D5CDD505-2E9C-101B-9397-08002B2CF9AE}" pid="6" name="MediaServiceImageTags">
    <vt:lpwstr/>
  </property>
</Properties>
</file>